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charts/_rels/chart7.xml.rels" ContentType="application/vnd.openxmlformats-package.relationships+xml"/>
  <Override PartName="/word/charts/chart7.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word/embeddings/Microsoft_Excel_Worksheet11.xlsx" ContentType="application/vnd.openxmlformats-officedocument.spreadsheetml.sheet"/>
  <Override PartName="/word/embeddings/Microsoft_Excel_Worksheet.xlsx" ContentType="application/vnd.openxmlformats-officedocument.spreadsheetml.sheet"/>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12.xlsx" ContentType="application/vnd.openxmlformats-officedocument.spreadsheetml.sheet"/>
  <Override PartName="/word/embeddings/Microsoft_Excel_Worksheet4.xlsx" ContentType="application/vnd.openxmlformats-officedocument.spreadsheetml.sheet"/>
  <Override PartName="/word/embeddings/Microsoft_Excel_Worksheet15.xlsx" ContentType="application/vnd.openxmlformats-officedocument.spreadsheetml.sheet"/>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sz w:val="40"/>
          <w:szCs w:val="40"/>
        </w:rPr>
      </w:pPr>
      <w:r>
        <w:rPr>
          <w:rFonts w:ascii="Times New Roman" w:hAnsi="Times New Roman"/>
          <w:b/>
          <w:sz w:val="40"/>
          <w:szCs w:val="40"/>
        </w:rPr>
      </w:r>
    </w:p>
    <w:p>
      <w:pPr>
        <w:pStyle w:val="Normal"/>
        <w:spacing w:lineRule="auto" w:line="240"/>
        <w:jc w:val="center"/>
        <w:rPr>
          <w:rFonts w:ascii="Times New Roman" w:hAnsi="Times New Roman"/>
          <w:b/>
          <w:b/>
          <w:sz w:val="40"/>
          <w:szCs w:val="40"/>
        </w:rPr>
      </w:pPr>
      <w:r>
        <w:rPr/>
        <w:drawing>
          <wp:inline distT="0" distB="0" distL="0" distR="0">
            <wp:extent cx="1524000" cy="1524000"/>
            <wp:effectExtent l="0" t="0" r="0" b="0"/>
            <wp:docPr id="1" name="Picture 1" descr="Opštinski sportski savezi - Sportski savez Vojv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štinski sportski savezi - Sportski savez Vojvodine"/>
                    <pic:cNvPicPr>
                      <a:picLocks noChangeAspect="1" noChangeArrowheads="1"/>
                    </pic:cNvPicPr>
                  </pic:nvPicPr>
                  <pic:blipFill>
                    <a:blip r:embed="rId2"/>
                    <a:stretch>
                      <a:fillRect/>
                    </a:stretch>
                  </pic:blipFill>
                  <pic:spPr bwMode="auto">
                    <a:xfrm>
                      <a:off x="0" y="0"/>
                      <a:ext cx="1524000" cy="1524000"/>
                    </a:xfrm>
                    <a:prstGeom prst="rect">
                      <a:avLst/>
                    </a:prstGeom>
                  </pic:spPr>
                </pic:pic>
              </a:graphicData>
            </a:graphic>
          </wp:inline>
        </w:drawing>
      </w:r>
    </w:p>
    <w:p>
      <w:pPr>
        <w:pStyle w:val="Normal"/>
        <w:spacing w:lineRule="auto" w:line="240"/>
        <w:jc w:val="center"/>
        <w:rPr>
          <w:rStyle w:val="Markedcontent"/>
          <w:rFonts w:ascii="Times New Roman" w:hAnsi="Times New Roman"/>
          <w:b/>
          <w:b/>
          <w:sz w:val="28"/>
          <w:szCs w:val="28"/>
          <w:lang w:val="sr-RS"/>
        </w:rPr>
      </w:pPr>
      <w:r>
        <w:rPr>
          <w:rStyle w:val="Markedcontent"/>
          <w:rFonts w:ascii="Times New Roman" w:hAnsi="Times New Roman"/>
          <w:b/>
          <w:sz w:val="28"/>
          <w:szCs w:val="28"/>
          <w:lang w:val="sr-RS"/>
        </w:rPr>
        <w:t>ОПШТИНА СЕНТА</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lang w:val="sr-RS"/>
        </w:rPr>
      </w:pPr>
      <w:r>
        <w:rPr>
          <w:rFonts w:cs="Arial" w:ascii="Arial" w:hAnsi="Arial"/>
          <w:sz w:val="28"/>
          <w:szCs w:val="28"/>
          <w:lang w:val="sr-RS"/>
        </w:rPr>
      </w:r>
    </w:p>
    <w:p>
      <w:pPr>
        <w:pStyle w:val="Normal"/>
        <w:rPr>
          <w:rFonts w:ascii="Arial" w:hAnsi="Arial" w:cs="Arial"/>
          <w:sz w:val="28"/>
          <w:szCs w:val="28"/>
          <w:lang w:val="sr-RS"/>
        </w:rPr>
      </w:pPr>
      <w:r>
        <w:rPr>
          <w:rFonts w:cs="Arial" w:ascii="Arial" w:hAnsi="Arial"/>
          <w:sz w:val="28"/>
          <w:szCs w:val="28"/>
          <w:lang w:val="sr-RS"/>
        </w:rPr>
      </w:r>
    </w:p>
    <w:p>
      <w:pPr>
        <w:pStyle w:val="Normal"/>
        <w:rPr>
          <w:rFonts w:ascii="Arial" w:hAnsi="Arial" w:cs="Arial"/>
          <w:sz w:val="28"/>
          <w:szCs w:val="28"/>
          <w:lang w:val="sr-RS"/>
        </w:rPr>
      </w:pPr>
      <w:r>
        <w:rPr>
          <w:rFonts w:cs="Arial" w:ascii="Arial" w:hAnsi="Arial"/>
          <w:sz w:val="28"/>
          <w:szCs w:val="28"/>
          <w:lang w:val="sr-RS"/>
        </w:rPr>
      </w:r>
    </w:p>
    <w:p>
      <w:pPr>
        <w:pStyle w:val="Normal"/>
        <w:rPr>
          <w:rFonts w:ascii="Arial" w:hAnsi="Arial" w:cs="Arial"/>
          <w:sz w:val="28"/>
          <w:szCs w:val="28"/>
          <w:lang w:val="sr-RS"/>
        </w:rPr>
      </w:pPr>
      <w:r>
        <w:rPr>
          <w:rFonts w:cs="Arial" w:ascii="Arial" w:hAnsi="Arial"/>
          <w:sz w:val="28"/>
          <w:szCs w:val="28"/>
          <w:lang w:val="sr-RS"/>
        </w:rPr>
      </w:r>
    </w:p>
    <w:p>
      <w:pPr>
        <w:pStyle w:val="Normal"/>
        <w:spacing w:lineRule="auto" w:line="240" w:before="0" w:after="0"/>
        <w:jc w:val="center"/>
        <w:rPr>
          <w:rFonts w:ascii="Times New Roman" w:hAnsi="Times New Roman"/>
          <w:b/>
          <w:b/>
          <w:sz w:val="28"/>
          <w:szCs w:val="28"/>
          <w:lang w:val="sr-RS"/>
        </w:rPr>
      </w:pPr>
      <w:r>
        <w:rPr>
          <w:rFonts w:ascii="Times New Roman" w:hAnsi="Times New Roman"/>
          <w:b/>
          <w:sz w:val="28"/>
          <w:szCs w:val="28"/>
          <w:lang w:val="sr-RS"/>
        </w:rPr>
        <w:t>ЛОКАЛНИ АКЦИОНИ ПЛАН</w:t>
      </w:r>
    </w:p>
    <w:p>
      <w:pPr>
        <w:pStyle w:val="Normal"/>
        <w:spacing w:lineRule="auto" w:line="240" w:before="0" w:after="0"/>
        <w:jc w:val="center"/>
        <w:rPr>
          <w:rFonts w:ascii="Times New Roman" w:hAnsi="Times New Roman"/>
          <w:b/>
          <w:b/>
          <w:sz w:val="28"/>
          <w:szCs w:val="28"/>
          <w:lang w:val="sr-RS"/>
        </w:rPr>
      </w:pPr>
      <w:r>
        <w:rPr>
          <w:rFonts w:ascii="Times New Roman" w:hAnsi="Times New Roman"/>
          <w:b/>
          <w:sz w:val="28"/>
          <w:szCs w:val="28"/>
          <w:lang w:val="sr-RS"/>
        </w:rPr>
        <w:t xml:space="preserve"> </w:t>
      </w:r>
      <w:r>
        <w:rPr>
          <w:rFonts w:ascii="Times New Roman" w:hAnsi="Times New Roman"/>
          <w:b/>
          <w:sz w:val="28"/>
          <w:szCs w:val="28"/>
          <w:lang w:val="sr-RS"/>
        </w:rPr>
        <w:t xml:space="preserve">ЗА УНАПРЕЂЕЊЕ РОДНЕ РАВНОПРАВНОСТИ </w:t>
      </w:r>
    </w:p>
    <w:p>
      <w:pPr>
        <w:pStyle w:val="Normal"/>
        <w:spacing w:lineRule="auto" w:line="240" w:before="0" w:after="0"/>
        <w:jc w:val="center"/>
        <w:rPr>
          <w:rFonts w:ascii="Times New Roman" w:hAnsi="Times New Roman"/>
          <w:b/>
          <w:b/>
          <w:sz w:val="28"/>
          <w:szCs w:val="28"/>
          <w:lang w:val="sr-RS"/>
        </w:rPr>
      </w:pPr>
      <w:r>
        <w:rPr>
          <w:rFonts w:ascii="Times New Roman" w:hAnsi="Times New Roman"/>
          <w:b/>
          <w:sz w:val="28"/>
          <w:szCs w:val="28"/>
          <w:lang w:val="sr-RS"/>
        </w:rPr>
        <w:t xml:space="preserve">У ОПШТИНИ СЕНТА </w:t>
      </w:r>
    </w:p>
    <w:p>
      <w:pPr>
        <w:pStyle w:val="Normal"/>
        <w:spacing w:lineRule="auto" w:line="240" w:before="0" w:after="0"/>
        <w:jc w:val="center"/>
        <w:rPr>
          <w:rFonts w:ascii="Times New Roman" w:hAnsi="Times New Roman"/>
          <w:b/>
          <w:b/>
          <w:sz w:val="28"/>
          <w:szCs w:val="28"/>
          <w:lang w:val="sr-RS"/>
        </w:rPr>
      </w:pPr>
      <w:r>
        <w:rPr>
          <w:rFonts w:ascii="Times New Roman" w:hAnsi="Times New Roman"/>
          <w:b/>
          <w:sz w:val="28"/>
          <w:szCs w:val="28"/>
          <w:lang w:val="sr-RS"/>
        </w:rPr>
        <w:t xml:space="preserve">ЗА ПЕРИОД 2022 – 2026. </w:t>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pStyle w:val="Normal"/>
        <w:rPr>
          <w:rFonts w:ascii="Times New Roman" w:hAnsi="Times New Roman"/>
          <w:sz w:val="28"/>
          <w:szCs w:val="28"/>
          <w:lang w:val="sr-RS"/>
        </w:rPr>
      </w:pPr>
      <w:r>
        <w:rPr>
          <w:rFonts w:ascii="Times New Roman" w:hAnsi="Times New Roman"/>
          <w:sz w:val="28"/>
          <w:szCs w:val="28"/>
          <w:lang w:val="sr-RS"/>
        </w:rPr>
      </w:r>
    </w:p>
    <w:p>
      <w:pPr>
        <w:sectPr>
          <w:type w:val="nextPage"/>
          <w:pgSz w:w="12240" w:h="15840"/>
          <w:pgMar w:left="720" w:right="720" w:header="0" w:top="835" w:footer="0" w:bottom="720" w:gutter="0"/>
          <w:pgNumType w:fmt="decimal"/>
          <w:formProt w:val="false"/>
          <w:textDirection w:val="lrTb"/>
          <w:docGrid w:type="default" w:linePitch="360" w:charSpace="4294965247"/>
        </w:sectPr>
        <w:pStyle w:val="Normal"/>
        <w:tabs>
          <w:tab w:val="left" w:pos="4935" w:leader="none"/>
        </w:tabs>
        <w:rPr>
          <w:rFonts w:ascii="Times New Roman" w:hAnsi="Times New Roman"/>
          <w:sz w:val="28"/>
          <w:szCs w:val="28"/>
          <w:lang w:val="sr-RS"/>
        </w:rPr>
      </w:pPr>
      <w:r>
        <w:rPr>
          <w:rFonts w:ascii="Times New Roman" w:hAnsi="Times New Roman"/>
          <w:sz w:val="28"/>
          <w:szCs w:val="28"/>
          <w:lang w:val="sr-RS"/>
        </w:rPr>
        <w:tab/>
        <w:t>Фебруар 2022.</w:t>
      </w:r>
    </w:p>
    <w:p>
      <w:pPr>
        <w:pStyle w:val="Normal"/>
        <w:spacing w:lineRule="auto" w:line="240"/>
        <w:jc w:val="center"/>
        <w:rPr>
          <w:rStyle w:val="Markedcontent"/>
          <w:rFonts w:ascii="Arial" w:hAnsi="Arial" w:cs="Arial"/>
          <w:sz w:val="28"/>
          <w:szCs w:val="28"/>
        </w:rPr>
      </w:pPr>
      <w:r>
        <w:rPr>
          <w:rFonts w:cs="Arial" w:ascii="Arial" w:hAnsi="Arial"/>
          <w:sz w:val="28"/>
          <w:szCs w:val="28"/>
        </w:rPr>
      </w:r>
    </w:p>
    <w:p>
      <w:pPr>
        <w:pStyle w:val="Normal"/>
        <w:spacing w:lineRule="auto" w:line="240"/>
        <w:jc w:val="center"/>
        <w:rPr>
          <w:rStyle w:val="Markedcontent"/>
          <w:rFonts w:ascii="Arial" w:hAnsi="Arial" w:cs="Arial"/>
          <w:sz w:val="28"/>
          <w:szCs w:val="28"/>
          <w:lang w:val="sr-RS"/>
        </w:rPr>
      </w:pPr>
      <w:r>
        <w:rPr>
          <w:rStyle w:val="Markedcontent"/>
          <w:rFonts w:cs="Arial" w:ascii="Arial" w:hAnsi="Arial"/>
          <w:sz w:val="28"/>
          <w:szCs w:val="28"/>
          <w:lang w:val="sr-RS"/>
        </w:rPr>
        <w:t>Садржај</w:t>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Normal"/>
        <w:spacing w:lineRule="auto" w:line="240"/>
        <w:jc w:val="center"/>
        <w:rPr>
          <w:rStyle w:val="Markedcontent"/>
          <w:rFonts w:ascii="Arial" w:hAnsi="Arial" w:cs="Arial"/>
          <w:sz w:val="28"/>
          <w:szCs w:val="28"/>
          <w:lang w:val="sr-RS"/>
        </w:rPr>
      </w:pPr>
      <w:r>
        <w:rPr>
          <w:rFonts w:cs="Arial" w:ascii="Arial" w:hAnsi="Arial"/>
          <w:sz w:val="28"/>
          <w:szCs w:val="28"/>
          <w:lang w:val="sr-RS"/>
        </w:rPr>
      </w:r>
    </w:p>
    <w:p>
      <w:pPr>
        <w:pStyle w:val="ListParagraph"/>
        <w:spacing w:lineRule="auto" w:line="240"/>
        <w:jc w:val="both"/>
        <w:rPr>
          <w:rStyle w:val="Markedcontent"/>
          <w:rFonts w:ascii="Times New Roman" w:hAnsi="Times New Roman"/>
          <w:b/>
          <w:b/>
          <w:color w:val="FF0000"/>
          <w:sz w:val="24"/>
          <w:szCs w:val="24"/>
          <w:lang w:val="sr-RS"/>
        </w:rPr>
      </w:pPr>
      <w:r>
        <w:rPr>
          <w:rFonts w:ascii="Times New Roman" w:hAnsi="Times New Roman"/>
          <w:b/>
          <w:color w:val="FF0000"/>
          <w:sz w:val="24"/>
          <w:szCs w:val="24"/>
          <w:lang w:val="sr-RS"/>
        </w:rPr>
      </w:r>
    </w:p>
    <w:p>
      <w:pPr>
        <w:pStyle w:val="ListParagraph"/>
        <w:spacing w:lineRule="auto" w:line="24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numPr>
          <w:ilvl w:val="0"/>
          <w:numId w:val="1"/>
        </w:numPr>
        <w:spacing w:lineRule="auto" w:line="240"/>
        <w:jc w:val="center"/>
        <w:rPr/>
      </w:pPr>
      <w:r>
        <w:rPr>
          <w:rStyle w:val="Markedcontent"/>
          <w:rFonts w:ascii="Times New Roman" w:hAnsi="Times New Roman"/>
          <w:b/>
          <w:sz w:val="24"/>
          <w:szCs w:val="24"/>
          <w:lang w:val="sr-RS"/>
        </w:rPr>
        <w:t>ЗАКОНСКИ И СТРАТЕШКИ ОКВИР</w:t>
      </w:r>
    </w:p>
    <w:p>
      <w:pPr>
        <w:pStyle w:val="ListParagraph"/>
        <w:numPr>
          <w:ilvl w:val="0"/>
          <w:numId w:val="0"/>
        </w:numPr>
        <w:spacing w:lineRule="auto" w:line="240"/>
        <w:ind w:left="1440" w:hanging="0"/>
        <w:jc w:val="center"/>
        <w:rPr>
          <w:rStyle w:val="Markedcontent"/>
          <w:rFonts w:ascii="Times New Roman" w:hAnsi="Times New Roman"/>
          <w:b/>
          <w:b/>
          <w:sz w:val="24"/>
          <w:szCs w:val="24"/>
          <w:lang w:val="sr-RS"/>
        </w:rPr>
      </w:pPr>
      <w:r>
        <w:rPr>
          <w:rFonts w:ascii="Times New Roman" w:hAnsi="Times New Roman"/>
          <w:b/>
          <w:sz w:val="24"/>
          <w:szCs w:val="24"/>
          <w:lang w:val="sr-RS"/>
        </w:rPr>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Република Србија је потписница многобројних међународних докумената и уговора који забрањују дискриминацију засновану на родној припадности, који гарантују једнака права жена и мушкараца, уз акценат на Конвенцију о елиминацији свих облика дискриминације жена (</w:t>
      </w:r>
      <w:r>
        <w:rPr>
          <w:rStyle w:val="Markedcontent"/>
          <w:rFonts w:ascii="Times New Roman" w:hAnsi="Times New Roman"/>
          <w:sz w:val="24"/>
          <w:szCs w:val="24"/>
          <w:lang w:val="sr-Latn-RS"/>
        </w:rPr>
        <w:t>CEDAW)</w:t>
      </w:r>
      <w:r>
        <w:rPr>
          <w:rStyle w:val="Markedcontent"/>
          <w:rFonts w:ascii="Times New Roman" w:hAnsi="Times New Roman"/>
          <w:sz w:val="24"/>
          <w:szCs w:val="24"/>
          <w:lang w:val="sr-RS"/>
        </w:rPr>
        <w:t xml:space="preserve"> и Истанбулску конвенцију.</w:t>
      </w:r>
    </w:p>
    <w:p>
      <w:pPr>
        <w:pStyle w:val="Normal"/>
        <w:spacing w:lineRule="auto" w:line="240"/>
        <w:jc w:val="both"/>
        <w:rPr/>
      </w:pPr>
      <w:r>
        <w:rPr>
          <w:rStyle w:val="Markedcontent"/>
          <w:rFonts w:ascii="Times New Roman" w:hAnsi="Times New Roman"/>
          <w:sz w:val="24"/>
          <w:szCs w:val="24"/>
          <w:lang w:val="sr-RS"/>
        </w:rPr>
        <w:t xml:space="preserve">Члан 18. став 1. Устава Републике Србије („Службени гласник Републике Србије“, бр. </w:t>
      </w:r>
      <w:r>
        <w:rPr>
          <w:rStyle w:val="Markedcontent"/>
          <w:rFonts w:ascii="Times New Roman" w:hAnsi="Times New Roman"/>
          <w:sz w:val="24"/>
          <w:szCs w:val="24"/>
          <w:lang w:val="en-US"/>
        </w:rPr>
        <w:t>98/2006</w:t>
      </w:r>
      <w:r>
        <w:rPr>
          <w:rStyle w:val="Markedcontent"/>
          <w:rFonts w:ascii="Times New Roman" w:hAnsi="Times New Roman"/>
          <w:sz w:val="24"/>
          <w:szCs w:val="24"/>
          <w:lang w:val="sr-RS"/>
        </w:rPr>
        <w:t>) јамчи људска права утврђена потврђеним међународним уговорима, опште прихваћеним правилима међународног права и законима. Члан 15. гарантује равноправност жена и мушкараца и развој политика једнаких могућности док члан 21. став 3. Забрањује дискриминацију по било ком основу, укључујући и ону на основу пола.</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Република Србија има успостављен национални оквир за родну равноправност кроз нови Закон о родној равноправности („Службени гласник Републике Србије“, бр. 52/2021) као и Националну стратегију за родну равноправност за период 2021 – 2030. године са акционим планом за њено спровођење за период од 2021 – 2023. године.</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Наведеним документима, успостављени су механизми за родну равноправност на свим нивоима власти (законодавни, извршни и независни механизми за праћење на националном, покрајинском и локалном нивоу.</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дургих политика и одлучивања о правима, обавезама и на закону заснованим одредбама, као и уставним одредбама.</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Локална самоуправа, у оквиру својих надлежности, осигурава равноправност мушкараца и жена и постизање једнаких могућности на локалном нивоу. Механизми за родну равноправност су одговорни за мере и активности које су у функцији родне равноправности и постизања једнаких могућности на локалном нивоу.</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Сходно члану 63. Закона о родној равноправности („Службени гласник Републике Србије“, бр. 52/2021), Скупштина општине Сента је донела Решење о избору председника и чланова Савета за родну равноправност („Службени лист општине Сента“, бр. 2/2021).</w:t>
      </w:r>
    </w:p>
    <w:p>
      <w:pPr>
        <w:pStyle w:val="Normal"/>
        <w:spacing w:lineRule="auto" w:line="240"/>
        <w:jc w:val="both"/>
        <w:rPr>
          <w:rStyle w:val="Markedcontent"/>
          <w:rFonts w:ascii="Times New Roman" w:hAnsi="Times New Roman"/>
          <w:sz w:val="24"/>
          <w:szCs w:val="24"/>
          <w:lang w:val="sr-RS"/>
        </w:rPr>
      </w:pPr>
      <w:r>
        <w:rPr>
          <w:rStyle w:val="Markedcontent"/>
          <w:rFonts w:ascii="Times New Roman" w:hAnsi="Times New Roman"/>
          <w:sz w:val="24"/>
          <w:szCs w:val="24"/>
          <w:lang w:val="sr-RS"/>
        </w:rPr>
        <w:t xml:space="preserve">Члан 13. Закона о родној равноправности („Службени гласник Републике Србије“, бр. 52/2021) прописује врсте планских аката који се доносе ради развоја, унапређивања и остваривања родне равноправности односно прописује доношење акционог плана јединице локалне самоуправе. Сходно томе, дана 10. јануара 2022. године, председник Општине Сента донео је Решење о именовању радног тела за израду Локалног акционог плана за унапређење родне равноправности у општини Сента за период од 2022. до 2026. године. </w:t>
      </w:r>
    </w:p>
    <w:p>
      <w:pPr>
        <w:pStyle w:val="Normal"/>
        <w:spacing w:lineRule="auto" w:line="240"/>
        <w:jc w:val="center"/>
        <w:rPr>
          <w:rStyle w:val="Markedcontent"/>
          <w:rFonts w:ascii="Times New Roman" w:hAnsi="Times New Roman"/>
          <w:sz w:val="24"/>
          <w:szCs w:val="24"/>
          <w:lang w:val="sr-RS"/>
        </w:rPr>
      </w:pPr>
      <w:r>
        <w:rPr>
          <w:rFonts w:ascii="Times New Roman" w:hAnsi="Times New Roman"/>
          <w:sz w:val="24"/>
          <w:szCs w:val="24"/>
          <w:lang w:val="sr-RS"/>
        </w:rPr>
      </w:r>
    </w:p>
    <w:p>
      <w:pPr>
        <w:pStyle w:val="Normal"/>
        <w:spacing w:lineRule="auto" w:line="240"/>
        <w:jc w:val="center"/>
        <w:rPr>
          <w:rStyle w:val="Markedcontent"/>
          <w:rFonts w:ascii="Times New Roman" w:hAnsi="Times New Roman"/>
          <w:sz w:val="24"/>
          <w:szCs w:val="24"/>
          <w:lang w:val="sr-RS"/>
        </w:rPr>
      </w:pPr>
      <w:r>
        <w:rPr>
          <w:rFonts w:ascii="Times New Roman" w:hAnsi="Times New Roman"/>
          <w:sz w:val="24"/>
          <w:szCs w:val="24"/>
          <w:lang w:val="sr-RS"/>
        </w:rPr>
      </w:r>
    </w:p>
    <w:p>
      <w:pPr>
        <w:pStyle w:val="ListParagraph"/>
        <w:numPr>
          <w:ilvl w:val="0"/>
          <w:numId w:val="1"/>
        </w:numPr>
        <w:spacing w:lineRule="auto" w:line="240"/>
        <w:jc w:val="center"/>
        <w:rPr>
          <w:rStyle w:val="Markedcontent"/>
          <w:rFonts w:ascii="Times New Roman" w:hAnsi="Times New Roman"/>
          <w:b/>
          <w:b/>
          <w:sz w:val="28"/>
          <w:szCs w:val="28"/>
          <w:lang w:val="sr-RS"/>
        </w:rPr>
      </w:pPr>
      <w:r>
        <w:rPr>
          <w:rStyle w:val="Markedcontent"/>
          <w:rFonts w:ascii="Times New Roman" w:hAnsi="Times New Roman"/>
          <w:b/>
          <w:sz w:val="28"/>
          <w:szCs w:val="28"/>
          <w:lang w:val="sr-RS"/>
        </w:rPr>
        <w:t>АНАЛИЗА СТАЊА У ОБЛАСТИ РОДНЕ РАВНОПРАВНОСТИ У ОПШТИНИ СЕНТА</w:t>
      </w:r>
    </w:p>
    <w:p>
      <w:pPr>
        <w:pStyle w:val="ListParagraph"/>
        <w:spacing w:lineRule="auto" w:line="240"/>
        <w:rPr>
          <w:rStyle w:val="Markedcontent"/>
          <w:rFonts w:ascii="Times New Roman" w:hAnsi="Times New Roman"/>
          <w:b/>
          <w:b/>
          <w:sz w:val="28"/>
          <w:szCs w:val="28"/>
          <w:lang w:val="sr-RS"/>
        </w:rPr>
      </w:pPr>
      <w:r>
        <w:rPr>
          <w:rFonts w:ascii="Times New Roman" w:hAnsi="Times New Roman"/>
          <w:b/>
          <w:sz w:val="28"/>
          <w:szCs w:val="28"/>
          <w:lang w:val="sr-RS"/>
        </w:rPr>
      </w:r>
    </w:p>
    <w:p>
      <w:pPr>
        <w:pStyle w:val="ListParagraph"/>
        <w:spacing w:lineRule="auto" w:line="240"/>
        <w:rPr>
          <w:rStyle w:val="Markedcontent"/>
          <w:rFonts w:ascii="Times New Roman" w:hAnsi="Times New Roman"/>
          <w:b/>
          <w:b/>
          <w:sz w:val="28"/>
          <w:szCs w:val="28"/>
          <w:lang w:val="sr-RS"/>
        </w:rPr>
      </w:pPr>
      <w:r>
        <w:rPr>
          <w:rFonts w:ascii="Times New Roman" w:hAnsi="Times New Roman"/>
          <w:b/>
          <w:sz w:val="28"/>
          <w:szCs w:val="28"/>
          <w:lang w:val="sr-RS"/>
        </w:rPr>
      </w:r>
    </w:p>
    <w:p>
      <w:pPr>
        <w:pStyle w:val="ListParagraph"/>
        <w:numPr>
          <w:ilvl w:val="1"/>
          <w:numId w:val="1"/>
        </w:numPr>
        <w:spacing w:lineRule="auto" w:line="240"/>
        <w:rPr>
          <w:rStyle w:val="Markedcontent"/>
          <w:rFonts w:ascii="Times New Roman" w:hAnsi="Times New Roman"/>
          <w:b/>
          <w:b/>
          <w:sz w:val="24"/>
          <w:szCs w:val="24"/>
          <w:lang w:val="sr-RS"/>
        </w:rPr>
      </w:pPr>
      <w:r>
        <w:rPr>
          <w:rStyle w:val="Markedcontent"/>
          <w:rFonts w:ascii="Times New Roman" w:hAnsi="Times New Roman"/>
          <w:b/>
          <w:sz w:val="24"/>
          <w:szCs w:val="24"/>
          <w:lang w:val="sr-RS"/>
        </w:rPr>
        <w:t>Географски подаци</w:t>
      </w:r>
    </w:p>
    <w:p>
      <w:pPr>
        <w:pStyle w:val="ListParagraph"/>
        <w:numPr>
          <w:ilvl w:val="0"/>
          <w:numId w:val="0"/>
        </w:numPr>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numPr>
          <w:ilvl w:val="0"/>
          <w:numId w:val="0"/>
        </w:numPr>
        <w:spacing w:lineRule="auto" w:line="240"/>
        <w:ind w:left="1815" w:hanging="0"/>
        <w:rPr>
          <w:rFonts w:ascii="Cambria" w:hAnsi="Cambria" w:cs="Arial"/>
          <w:b/>
          <w:b/>
          <w:sz w:val="24"/>
          <w:szCs w:val="24"/>
        </w:rPr>
      </w:pPr>
      <w:r>
        <w:rPr>
          <w:rFonts w:cs="Arial" w:ascii="Cambria" w:hAnsi="Cambria"/>
          <w:b/>
          <w:sz w:val="24"/>
          <w:szCs w:val="24"/>
        </w:rPr>
      </w:r>
    </w:p>
    <w:p>
      <w:pPr>
        <w:pStyle w:val="ListParagraph"/>
        <w:widowControl/>
        <w:bidi w:val="0"/>
        <w:spacing w:lineRule="auto" w:line="276" w:before="0" w:after="120"/>
        <w:ind w:left="0" w:right="0" w:hanging="0"/>
        <w:jc w:val="both"/>
        <w:rPr/>
      </w:pPr>
      <w:r>
        <w:rPr>
          <w:rFonts w:cs="Arial" w:ascii="Cambria" w:hAnsi="Cambria"/>
        </w:rPr>
        <w:t>Општина Сента налази се у североисточном делу Бачке, северном делу Војводине и припада Севернобанатском округу, иако се налази у Бачкој. Граничи се са општином Чока на истоку, где природну границу представља река Тиса. На западу поток Чик представља границу са Бачком Тополом, а на северу према Кањижи и Суботици и на југу према Ади,  границе су вештачки повучене.</w:t>
      </w:r>
    </w:p>
    <w:p>
      <w:pPr>
        <w:pStyle w:val="ListParagraph"/>
        <w:widowControl/>
        <w:bidi w:val="0"/>
        <w:spacing w:lineRule="auto" w:line="276" w:before="0" w:after="120"/>
        <w:ind w:left="0" w:right="0" w:hanging="0"/>
        <w:jc w:val="both"/>
        <w:rPr/>
      </w:pPr>
      <w:r>
        <w:rPr>
          <w:rFonts w:cs="Arial" w:ascii="Cambria" w:hAnsi="Cambria"/>
        </w:rPr>
        <w:t>Општина Сента је окружена градом Суботица и општином Бачка Топола са западне стране, општином Кањижа са северне стране, општином Чока са источне и општином Ада са јужне стране.</w:t>
      </w:r>
    </w:p>
    <w:p>
      <w:pPr>
        <w:pStyle w:val="ListParagraph"/>
        <w:spacing w:before="0" w:after="120"/>
        <w:ind w:left="0" w:hanging="0"/>
        <w:jc w:val="both"/>
        <w:rPr/>
      </w:pPr>
      <w:r>
        <w:rPr>
          <w:rFonts w:cs="Arial" w:ascii="Cambria" w:hAnsi="Cambria"/>
        </w:rPr>
        <w:t>Сента је раскрсница регионалних путева, Сегедин-Сента-Нови Сад и Бачка Топола-Сента-Чока- Кикинда. Укидањем железничког саобраћаја на линији Хоргош-Кањижа- Сента-Бечеј-Нови Сад и изградњом аутопута Е-75, од кога је удаљена 38 км, Сента је остала  по страни од европских коридора.</w:t>
      </w:r>
    </w:p>
    <w:p>
      <w:pPr>
        <w:pStyle w:val="Normal"/>
        <w:spacing w:before="0" w:after="120"/>
        <w:rPr>
          <w:rFonts w:ascii="Calibri" w:hAnsi="Calibri" w:eastAsia="Calibri" w:cs="Calibri"/>
          <w:sz w:val="20"/>
          <w:szCs w:val="20"/>
        </w:rPr>
      </w:pPr>
      <w:r>
        <w:rPr>
          <w:rFonts w:cs="Arial" w:ascii="Cambria" w:hAnsi="Cambria"/>
        </w:rPr>
        <w:t>Општина Сента има 5 насељених места, и то:</w:t>
      </w:r>
      <w:r>
        <w:rPr>
          <w:rFonts w:eastAsia="Calibri" w:cs="Calibri"/>
          <w:sz w:val="20"/>
          <w:szCs w:val="20"/>
        </w:rPr>
        <w:t xml:space="preserve"> </w:t>
      </w:r>
    </w:p>
    <w:p>
      <w:pPr>
        <w:pStyle w:val="Normal"/>
        <w:spacing w:before="0" w:after="120"/>
        <w:rPr>
          <w:rFonts w:ascii="Cambria" w:hAnsi="Cambria" w:cs="Arial"/>
        </w:rPr>
      </w:pPr>
      <w:r>
        <w:rPr>
          <w:rFonts w:cs="Arial" w:ascii="Cambria" w:hAnsi="Cambria"/>
        </w:rPr>
      </w:r>
    </w:p>
    <w:tbl>
      <w:tblPr>
        <w:tblStyle w:val="GridTable5Dark-Accent31"/>
        <w:tblW w:w="5098" w:type="dxa"/>
        <w:jc w:val="left"/>
        <w:tblInd w:w="-10" w:type="dxa"/>
        <w:tblCellMar>
          <w:top w:w="0" w:type="dxa"/>
          <w:left w:w="98" w:type="dxa"/>
          <w:bottom w:w="0" w:type="dxa"/>
          <w:right w:w="108" w:type="dxa"/>
        </w:tblCellMar>
        <w:tblLook w:firstRow="1" w:noVBand="1" w:lastRow="0" w:firstColumn="1" w:lastColumn="0" w:noHBand="0" w:val="04a0"/>
      </w:tblPr>
      <w:tblGrid>
        <w:gridCol w:w="704"/>
        <w:gridCol w:w="3116"/>
        <w:gridCol w:w="1"/>
        <w:gridCol w:w="1277"/>
      </w:tblGrid>
      <w:tr>
        <w:trPr>
          <w:trHeight w:val="567" w:hRule="atLeast"/>
          <w:cnfStyle w:val="100000000000" w:firstRow="1" w:lastRow="0" w:firstColumn="0" w:lastColumn="0" w:oddVBand="0" w:evenVBand="0" w:oddHBand="0" w:evenHBand="0" w:firstRowFirstColumn="0" w:firstRowLastColumn="0" w:lastRowFirstColumn="0" w:lastRowLastColumn="0"/>
        </w:trPr>
        <w:tc>
          <w:tcPr>
            <w:tcW w:w="5098" w:type="dxa"/>
            <w:gridSpan w:val="4"/>
            <w:cnfStyle w:val="001000000000" w:firstRow="0" w:lastRow="0" w:firstColumn="1" w:lastColumn="0" w:oddVBand="0" w:evenVBand="0" w:oddHBand="0" w:evenHBand="0" w:firstRowFirstColumn="0" w:firstRowLastColumn="0" w:lastRowFirstColumn="0" w:lastRowLastColumn="0"/>
            <w:tcBorders>
              <w:top w:val="dotted" w:sz="4" w:space="0" w:color="00000A"/>
              <w:left w:val="dotted" w:sz="4" w:space="0" w:color="00000A"/>
              <w:bottom w:val="dotted" w:sz="4" w:space="0" w:color="00000A"/>
              <w:right w:val="nil"/>
              <w:insideH w:val="dotted" w:sz="4" w:space="0" w:color="00000A"/>
              <w:insideV w:val="nil"/>
            </w:tcBorders>
            <w:shd w:color="auto" w:fill="FFE599" w:themeFill="accent4" w:themeFillTint="66" w:val="clear"/>
            <w:tcMar>
              <w:left w:w="98" w:type="dxa"/>
            </w:tcMar>
            <w:vAlign w:val="center"/>
          </w:tcPr>
          <w:p>
            <w:pPr>
              <w:pStyle w:val="Normal"/>
              <w:spacing w:lineRule="auto" w:line="240" w:before="0" w:after="200"/>
              <w:jc w:val="center"/>
              <w:rPr>
                <w:rFonts w:ascii="Cambria" w:hAnsi="Cambria" w:cs="Arial"/>
                <w:bCs w:val="false"/>
                <w:iCs/>
              </w:rPr>
            </w:pPr>
            <w:r>
              <w:rPr>
                <w:rFonts w:eastAsia="Calibri" w:cs="Arial" w:ascii="Cambria" w:hAnsi="Cambria"/>
                <w:b/>
                <w:bCs w:val="false"/>
                <w:iCs/>
                <w:color w:val="00000A"/>
                <w:sz w:val="20"/>
                <w:szCs w:val="20"/>
              </w:rPr>
              <w:t>Број становника општине Сента  по насељима,  попис из 2011. године:</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4" w:type="dxa"/>
            <w:cnfStyle w:val="001000000000" w:firstRow="0" w:lastRow="0" w:firstColumn="1" w:lastColumn="0" w:oddVBand="0" w:evenVBand="0" w:oddHBand="0" w:evenHBand="0" w:firstRowFirstColumn="0" w:firstRowLastColumn="0" w:lastRowFirstColumn="0" w:lastRowLastColumn="0"/>
            <w:tcBorders>
              <w:left w:val="dotted" w:sz="4" w:space="0" w:color="00000A"/>
              <w:right w:val="nil"/>
              <w:insideV w:val="nil"/>
            </w:tcBorders>
            <w:shd w:color="auto" w:fill="auto" w:val="clear"/>
            <w:tcMar>
              <w:left w:w="98" w:type="dxa"/>
            </w:tcMar>
            <w:vAlign w:val="center"/>
          </w:tcPr>
          <w:p>
            <w:pPr>
              <w:pStyle w:val="Normal"/>
              <w:spacing w:lineRule="auto" w:line="240" w:before="0" w:after="200"/>
              <w:jc w:val="center"/>
              <w:rPr>
                <w:rFonts w:ascii="Cambria" w:hAnsi="Cambria" w:cs="Arial"/>
                <w:i/>
                <w:i/>
                <w:iCs/>
                <w:color w:val="00000A"/>
              </w:rPr>
            </w:pPr>
            <w:r>
              <w:rPr>
                <w:rFonts w:eastAsia="Calibri" w:cs="Arial" w:ascii="Cambria" w:hAnsi="Cambria"/>
                <w:b/>
                <w:bCs/>
                <w:i/>
                <w:iCs/>
                <w:color w:val="00000A"/>
                <w:sz w:val="20"/>
                <w:szCs w:val="20"/>
              </w:rPr>
              <w:t>1.</w:t>
            </w:r>
          </w:p>
        </w:tc>
        <w:tc>
          <w:tcPr>
            <w:tcW w:w="311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Богараш</w:t>
            </w:r>
          </w:p>
        </w:tc>
        <w:tc>
          <w:tcPr>
            <w:tcW w:w="1278"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568</w:t>
            </w:r>
          </w:p>
        </w:tc>
      </w:tr>
      <w:tr>
        <w:trPr>
          <w:trHeight w:val="567" w:hRule="atLeast"/>
        </w:trPr>
        <w:tc>
          <w:tcPr>
            <w:tcW w:w="704" w:type="dxa"/>
            <w:cnfStyle w:val="001000000000" w:firstRow="0" w:lastRow="0" w:firstColumn="1" w:lastColumn="0" w:oddVBand="0" w:evenVBand="0" w:oddHBand="0" w:evenHBand="0" w:firstRowFirstColumn="0" w:firstRowLastColumn="0" w:lastRowFirstColumn="0" w:lastRowLastColumn="0"/>
            <w:tcBorders>
              <w:left w:val="dotted" w:sz="4" w:space="0" w:color="00000A"/>
              <w:right w:val="nil"/>
              <w:insideV w:val="nil"/>
            </w:tcBorders>
            <w:shd w:color="auto" w:fill="auto" w:val="clear"/>
            <w:tcMar>
              <w:left w:w="98" w:type="dxa"/>
            </w:tcMar>
            <w:vAlign w:val="center"/>
          </w:tcPr>
          <w:p>
            <w:pPr>
              <w:pStyle w:val="Normal"/>
              <w:spacing w:lineRule="auto" w:line="240" w:before="0" w:after="200"/>
              <w:jc w:val="center"/>
              <w:rPr>
                <w:rFonts w:ascii="Cambria" w:hAnsi="Cambria" w:cs="Arial"/>
                <w:i/>
                <w:i/>
                <w:iCs/>
                <w:color w:val="00000A"/>
              </w:rPr>
            </w:pPr>
            <w:r>
              <w:rPr>
                <w:rFonts w:eastAsia="Calibri" w:cs="Arial" w:ascii="Cambria" w:hAnsi="Cambria"/>
                <w:b/>
                <w:bCs/>
                <w:i/>
                <w:iCs/>
                <w:color w:val="00000A"/>
                <w:sz w:val="20"/>
                <w:szCs w:val="20"/>
              </w:rPr>
              <w:t>2.</w:t>
            </w:r>
          </w:p>
        </w:tc>
        <w:tc>
          <w:tcPr>
            <w:tcW w:w="311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mbria" w:hAnsi="Cambria" w:cs="Arial"/>
                <w:iCs/>
              </w:rPr>
            </w:pPr>
            <w:r>
              <w:rPr>
                <w:rFonts w:eastAsia="Calibri" w:cs="Arial" w:ascii="Cambria" w:hAnsi="Cambria"/>
                <w:iCs/>
                <w:sz w:val="20"/>
                <w:szCs w:val="20"/>
              </w:rPr>
              <w:t>Горњи Брег</w:t>
            </w:r>
          </w:p>
        </w:tc>
        <w:tc>
          <w:tcPr>
            <w:tcW w:w="1278"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mbria" w:hAnsi="Cambria" w:cs="Arial"/>
                <w:iCs/>
              </w:rPr>
            </w:pPr>
            <w:r>
              <w:rPr>
                <w:rFonts w:eastAsia="Calibri" w:cs="Arial" w:ascii="Cambria" w:hAnsi="Cambria"/>
                <w:iCs/>
                <w:sz w:val="20"/>
                <w:szCs w:val="20"/>
              </w:rPr>
              <w:t>1,726</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4" w:type="dxa"/>
            <w:cnfStyle w:val="001000000000" w:firstRow="0" w:lastRow="0" w:firstColumn="1" w:lastColumn="0" w:oddVBand="0" w:evenVBand="0" w:oddHBand="0" w:evenHBand="0" w:firstRowFirstColumn="0" w:firstRowLastColumn="0" w:lastRowFirstColumn="0" w:lastRowLastColumn="0"/>
            <w:tcBorders>
              <w:left w:val="dotted" w:sz="4" w:space="0" w:color="00000A"/>
              <w:right w:val="nil"/>
              <w:insideV w:val="nil"/>
            </w:tcBorders>
            <w:shd w:color="auto" w:fill="auto" w:val="clear"/>
            <w:tcMar>
              <w:left w:w="98" w:type="dxa"/>
            </w:tcMar>
            <w:vAlign w:val="center"/>
          </w:tcPr>
          <w:p>
            <w:pPr>
              <w:pStyle w:val="Normal"/>
              <w:spacing w:lineRule="auto" w:line="240" w:before="0" w:after="200"/>
              <w:jc w:val="center"/>
              <w:rPr>
                <w:rFonts w:ascii="Cambria" w:hAnsi="Cambria" w:cs="Arial"/>
                <w:i/>
                <w:i/>
                <w:iCs/>
                <w:color w:val="00000A"/>
              </w:rPr>
            </w:pPr>
            <w:r>
              <w:rPr>
                <w:rFonts w:eastAsia="Calibri" w:cs="Arial" w:ascii="Cambria" w:hAnsi="Cambria"/>
                <w:b/>
                <w:bCs/>
                <w:i/>
                <w:iCs/>
                <w:color w:val="00000A"/>
                <w:sz w:val="20"/>
                <w:szCs w:val="20"/>
              </w:rPr>
              <w:t>3.</w:t>
            </w:r>
          </w:p>
        </w:tc>
        <w:tc>
          <w:tcPr>
            <w:tcW w:w="311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Кеви</w:t>
            </w:r>
          </w:p>
        </w:tc>
        <w:tc>
          <w:tcPr>
            <w:tcW w:w="1278"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726</w:t>
            </w:r>
          </w:p>
        </w:tc>
      </w:tr>
      <w:tr>
        <w:trPr>
          <w:trHeight w:val="567" w:hRule="atLeast"/>
        </w:trPr>
        <w:tc>
          <w:tcPr>
            <w:tcW w:w="704" w:type="dxa"/>
            <w:cnfStyle w:val="001000000000" w:firstRow="0" w:lastRow="0" w:firstColumn="1" w:lastColumn="0" w:oddVBand="0" w:evenVBand="0" w:oddHBand="0" w:evenHBand="0" w:firstRowFirstColumn="0" w:firstRowLastColumn="0" w:lastRowFirstColumn="0" w:lastRowLastColumn="0"/>
            <w:tcBorders>
              <w:left w:val="dotted" w:sz="4" w:space="0" w:color="00000A"/>
              <w:right w:val="nil"/>
              <w:insideV w:val="nil"/>
            </w:tcBorders>
            <w:shd w:color="auto" w:fill="auto" w:val="clear"/>
            <w:tcMar>
              <w:left w:w="98" w:type="dxa"/>
            </w:tcMar>
            <w:vAlign w:val="center"/>
          </w:tcPr>
          <w:p>
            <w:pPr>
              <w:pStyle w:val="Normal"/>
              <w:spacing w:lineRule="auto" w:line="240" w:before="0" w:after="200"/>
              <w:jc w:val="center"/>
              <w:rPr>
                <w:rFonts w:ascii="Cambria" w:hAnsi="Cambria" w:cs="Arial"/>
                <w:i/>
                <w:i/>
                <w:iCs/>
                <w:color w:val="00000A"/>
              </w:rPr>
            </w:pPr>
            <w:r>
              <w:rPr>
                <w:rFonts w:eastAsia="Calibri" w:cs="Arial" w:ascii="Cambria" w:hAnsi="Cambria"/>
                <w:b/>
                <w:bCs/>
                <w:i/>
                <w:iCs/>
                <w:color w:val="00000A"/>
                <w:sz w:val="20"/>
                <w:szCs w:val="20"/>
              </w:rPr>
              <w:t>4.</w:t>
            </w:r>
          </w:p>
        </w:tc>
        <w:tc>
          <w:tcPr>
            <w:tcW w:w="311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mbria" w:hAnsi="Cambria" w:cs="Arial"/>
                <w:iCs/>
              </w:rPr>
            </w:pPr>
            <w:r>
              <w:rPr>
                <w:rFonts w:eastAsia="Calibri" w:cs="Arial" w:ascii="Cambria" w:hAnsi="Cambria"/>
                <w:iCs/>
                <w:sz w:val="20"/>
                <w:szCs w:val="20"/>
              </w:rPr>
              <w:t>Сента</w:t>
            </w:r>
          </w:p>
        </w:tc>
        <w:tc>
          <w:tcPr>
            <w:tcW w:w="1278"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000000" w:firstRow="0" w:lastRow="0" w:firstColumn="0" w:lastColumn="0" w:oddVBand="0" w:evenVBand="0" w:oddHBand="0" w:evenHBand="0" w:firstRowFirstColumn="0" w:firstRowLastColumn="0" w:lastRowFirstColumn="0" w:lastRowLastColumn="0"/>
              <w:rPr>
                <w:rFonts w:ascii="Cambria" w:hAnsi="Cambria" w:cs="Arial"/>
                <w:iCs/>
              </w:rPr>
            </w:pPr>
            <w:r>
              <w:rPr>
                <w:rFonts w:eastAsia="Calibri" w:cs="Arial" w:ascii="Cambria" w:hAnsi="Cambria"/>
                <w:iCs/>
                <w:sz w:val="20"/>
                <w:szCs w:val="20"/>
              </w:rPr>
              <w:t>18,704</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4" w:type="dxa"/>
            <w:cnfStyle w:val="001000000000" w:firstRow="0" w:lastRow="0" w:firstColumn="1" w:lastColumn="0" w:oddVBand="0" w:evenVBand="0" w:oddHBand="0" w:evenHBand="0" w:firstRowFirstColumn="0" w:firstRowLastColumn="0" w:lastRowFirstColumn="0" w:lastRowLastColumn="0"/>
            <w:tcBorders>
              <w:left w:val="dotted" w:sz="4" w:space="0" w:color="00000A"/>
              <w:right w:val="nil"/>
              <w:insideV w:val="nil"/>
            </w:tcBorders>
            <w:shd w:color="auto" w:fill="auto" w:val="clear"/>
            <w:tcMar>
              <w:left w:w="98" w:type="dxa"/>
            </w:tcMar>
            <w:vAlign w:val="center"/>
          </w:tcPr>
          <w:p>
            <w:pPr>
              <w:pStyle w:val="Normal"/>
              <w:spacing w:lineRule="auto" w:line="240" w:before="0" w:after="200"/>
              <w:jc w:val="center"/>
              <w:rPr>
                <w:rFonts w:ascii="Cambria" w:hAnsi="Cambria" w:cs="Arial"/>
                <w:i/>
                <w:i/>
                <w:iCs/>
                <w:color w:val="00000A"/>
              </w:rPr>
            </w:pPr>
            <w:r>
              <w:rPr>
                <w:rFonts w:eastAsia="Calibri" w:cs="Arial" w:ascii="Cambria" w:hAnsi="Cambria"/>
                <w:b/>
                <w:bCs/>
                <w:i/>
                <w:iCs/>
                <w:color w:val="00000A"/>
                <w:sz w:val="20"/>
                <w:szCs w:val="20"/>
              </w:rPr>
              <w:t>5.</w:t>
            </w:r>
          </w:p>
        </w:tc>
        <w:tc>
          <w:tcPr>
            <w:tcW w:w="311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Торњош</w:t>
            </w:r>
          </w:p>
        </w:tc>
        <w:tc>
          <w:tcPr>
            <w:tcW w:w="1278"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spacing w:lineRule="auto" w:line="240" w:before="0" w:after="200"/>
              <w:jc w:val="center"/>
              <w:cnfStyle w:val="000000100000" w:firstRow="0" w:lastRow="0" w:firstColumn="0" w:lastColumn="0" w:oddVBand="0" w:evenVBand="0" w:oddHBand="1" w:evenHBand="0" w:firstRowFirstColumn="0" w:firstRowLastColumn="0" w:lastRowFirstColumn="0" w:lastRowLastColumn="0"/>
              <w:rPr>
                <w:rFonts w:ascii="Cambria" w:hAnsi="Cambria" w:cs="Arial"/>
                <w:iCs/>
              </w:rPr>
            </w:pPr>
            <w:r>
              <w:rPr>
                <w:rFonts w:eastAsia="Calibri" w:cs="Arial" w:ascii="Cambria" w:hAnsi="Cambria"/>
                <w:iCs/>
                <w:sz w:val="20"/>
                <w:szCs w:val="20"/>
              </w:rPr>
              <w:t>1,592</w:t>
            </w:r>
          </w:p>
        </w:tc>
      </w:tr>
      <w:tr>
        <w:trPr>
          <w:trHeight w:val="567" w:hRule="atLeast"/>
        </w:trPr>
        <w:tc>
          <w:tcPr>
            <w:tcW w:w="3821" w:type="dxa"/>
            <w:gridSpan w:val="3"/>
            <w:cnfStyle w:val="001000000000" w:firstRow="0" w:lastRow="0" w:firstColumn="1" w:lastColumn="0" w:oddVBand="0" w:evenVBand="0" w:oddHBand="0" w:evenHBand="0" w:firstRowFirstColumn="0" w:firstRowLastColumn="0" w:lastRowFirstColumn="0" w:lastRowLastColumn="0"/>
            <w:tcBorders>
              <w:left w:val="dotted" w:sz="4" w:space="0" w:color="00000A"/>
              <w:bottom w:val="dotted" w:sz="4" w:space="0" w:color="00000A"/>
              <w:right w:val="nil"/>
              <w:insideH w:val="dotted" w:sz="4" w:space="0" w:color="00000A"/>
              <w:insideV w:val="nil"/>
            </w:tcBorders>
            <w:shd w:color="auto" w:fill="FFE599" w:themeFill="accent4" w:themeFillTint="66" w:val="clear"/>
            <w:tcMar>
              <w:left w:w="98" w:type="dxa"/>
            </w:tcMar>
            <w:vAlign w:val="center"/>
          </w:tcPr>
          <w:p>
            <w:pPr>
              <w:pStyle w:val="Normal"/>
              <w:spacing w:lineRule="auto" w:line="240" w:before="0" w:after="200"/>
              <w:jc w:val="right"/>
              <w:rPr>
                <w:rFonts w:ascii="Cambria" w:hAnsi="Cambria"/>
                <w:bCs w:val="false"/>
              </w:rPr>
            </w:pPr>
            <w:r>
              <w:rPr>
                <w:rFonts w:eastAsia="Calibri" w:cs="Arial" w:ascii="Cambria" w:hAnsi="Cambria"/>
                <w:b/>
                <w:bCs w:val="false"/>
                <w:color w:val="00000A"/>
                <w:sz w:val="20"/>
                <w:szCs w:val="20"/>
              </w:rPr>
              <w:t>УКУПНО:</w:t>
            </w:r>
          </w:p>
        </w:tc>
        <w:tc>
          <w:tcPr>
            <w:tcW w:w="127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E599" w:themeFill="accent4" w:themeFillTint="66" w:val="clear"/>
            <w:tcMar>
              <w:left w:w="98" w:type="dxa"/>
            </w:tcMar>
            <w:vAlign w:val="center"/>
          </w:tcPr>
          <w:p>
            <w:pPr>
              <w:pStyle w:val="TableContents"/>
              <w:snapToGrid w:val="false"/>
              <w:spacing w:lineRule="auto" w:line="240"/>
              <w:jc w:val="right"/>
              <w:cnfStyle w:val="000000000000" w:firstRow="0" w:lastRow="0" w:firstColumn="0" w:lastColumn="0" w:oddVBand="0" w:evenVBand="0" w:oddHBand="0" w:evenHBand="0" w:firstRowFirstColumn="0" w:firstRowLastColumn="0" w:lastRowFirstColumn="0" w:lastRowLastColumn="0"/>
              <w:rPr>
                <w:rFonts w:ascii="Cambria" w:hAnsi="Cambria" w:cs="Arial"/>
                <w:b/>
                <w:b/>
              </w:rPr>
            </w:pPr>
            <w:r>
              <w:rPr>
                <w:rFonts w:eastAsia="Calibri" w:cs="Arial" w:ascii="Cambria" w:hAnsi="Cambria"/>
                <w:b/>
                <w:sz w:val="20"/>
                <w:szCs w:val="20"/>
              </w:rPr>
              <w:t>23,316</w:t>
            </w:r>
          </w:p>
        </w:tc>
      </w:tr>
    </w:tbl>
    <w:p>
      <w:pPr>
        <w:pStyle w:val="Normal"/>
        <w:rPr>
          <w:rFonts w:ascii="Cambria" w:hAnsi="Cambria" w:cs="Arial"/>
          <w:bCs/>
          <w:i/>
          <w:i/>
          <w:u w:val="single"/>
        </w:rPr>
      </w:pPr>
      <w:r>
        <w:rPr>
          <w:rFonts w:cs="Arial" w:ascii="Cambria" w:hAnsi="Cambria"/>
          <w:bCs/>
          <w:i/>
          <w:u w:val="single"/>
        </w:rPr>
      </w:r>
    </w:p>
    <w:p>
      <w:pPr>
        <w:pStyle w:val="Normal"/>
        <w:rPr>
          <w:rFonts w:ascii="Cambria" w:hAnsi="Cambria" w:cs="Arial"/>
          <w:bCs/>
          <w:i/>
          <w:i/>
          <w:u w:val="single"/>
        </w:rPr>
      </w:pPr>
      <w:r>
        <w:rPr>
          <w:rFonts w:cs="Arial" w:ascii="Cambria" w:hAnsi="Cambria"/>
          <w:bCs/>
          <w:i/>
          <w:u w:val="single"/>
        </w:rPr>
      </w:r>
      <w:r>
        <w:br w:type="page"/>
      </w:r>
    </w:p>
    <w:p>
      <w:pPr>
        <w:pStyle w:val="Normal"/>
        <w:tabs>
          <w:tab w:val="left" w:pos="120" w:leader="none"/>
          <w:tab w:val="right" w:pos="9120" w:leader="dot"/>
        </w:tabs>
        <w:spacing w:before="0" w:after="120"/>
        <w:jc w:val="both"/>
        <w:rPr>
          <w:b/>
          <w:b/>
          <w:bCs/>
          <w:i w:val="false"/>
          <w:i w:val="false"/>
          <w:iCs w:val="false"/>
        </w:rPr>
      </w:pPr>
      <w:r>
        <w:rPr>
          <w:rFonts w:ascii="Cambria" w:hAnsi="Cambria"/>
          <w:b/>
          <w:bCs/>
          <w:i w:val="false"/>
          <w:iCs w:val="false"/>
        </w:rPr>
        <w:t>2.2  Основни демографски подаци</w:t>
      </w:r>
    </w:p>
    <w:p>
      <w:pPr>
        <w:pStyle w:val="Normal"/>
        <w:tabs>
          <w:tab w:val="left" w:pos="120" w:leader="none"/>
          <w:tab w:val="right" w:pos="9120" w:leader="dot"/>
        </w:tabs>
        <w:spacing w:before="0" w:after="120"/>
        <w:jc w:val="both"/>
        <w:rPr>
          <w:rFonts w:ascii="Cambria" w:hAnsi="Cambria"/>
        </w:rPr>
      </w:pPr>
      <w:r>
        <w:rPr>
          <w:rFonts w:ascii="Cambria" w:hAnsi="Cambria"/>
        </w:rPr>
      </w:r>
    </w:p>
    <w:tbl>
      <w:tblPr>
        <w:tblW w:w="9004" w:type="dxa"/>
        <w:jc w:val="left"/>
        <w:tblInd w:w="-1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98" w:type="dxa"/>
          <w:bottom w:w="0" w:type="dxa"/>
          <w:right w:w="108" w:type="dxa"/>
        </w:tblCellMar>
        <w:tblLook w:firstRow="1" w:noVBand="1" w:lastRow="0" w:firstColumn="1" w:lastColumn="0" w:noHBand="0" w:val="04a0"/>
      </w:tblPr>
      <w:tblGrid>
        <w:gridCol w:w="5069"/>
        <w:gridCol w:w="1990"/>
        <w:gridCol w:w="1945"/>
      </w:tblGrid>
      <w:tr>
        <w:trPr/>
        <w:tc>
          <w:tcPr>
            <w:tcW w:w="50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E599" w:themeFill="accent4" w:themeFillTint="66" w:val="clear"/>
            <w:tcMar>
              <w:left w:w="98" w:type="dxa"/>
            </w:tcMar>
          </w:tcPr>
          <w:p>
            <w:pPr>
              <w:pStyle w:val="Normal"/>
              <w:spacing w:before="0" w:after="200"/>
              <w:jc w:val="both"/>
              <w:rPr>
                <w:rFonts w:ascii="Cambria" w:hAnsi="Cambria" w:cs="Arial"/>
                <w:b/>
                <w:b/>
                <w:bCs/>
              </w:rPr>
            </w:pPr>
            <w:r>
              <w:rPr>
                <w:rFonts w:cs="Arial" w:ascii="Cambria" w:hAnsi="Cambria"/>
                <w:b/>
                <w:bCs/>
              </w:rPr>
              <w:t>Показатељи</w:t>
            </w:r>
          </w:p>
        </w:tc>
        <w:tc>
          <w:tcPr>
            <w:tcW w:w="199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E599" w:themeFill="accent4" w:themeFillTint="66" w:val="clear"/>
            <w:tcMar>
              <w:left w:w="98" w:type="dxa"/>
            </w:tcMar>
          </w:tcPr>
          <w:p>
            <w:pPr>
              <w:pStyle w:val="Normal"/>
              <w:spacing w:before="0" w:after="200"/>
              <w:jc w:val="center"/>
              <w:rPr>
                <w:rFonts w:ascii="Cambria" w:hAnsi="Cambria" w:cs="Arial"/>
                <w:b/>
                <w:b/>
                <w:bCs/>
              </w:rPr>
            </w:pPr>
            <w:r>
              <w:rPr>
                <w:rFonts w:cs="Arial" w:ascii="Cambria" w:hAnsi="Cambria"/>
                <w:b/>
                <w:bCs/>
              </w:rPr>
              <w:t>Сента</w:t>
            </w:r>
          </w:p>
        </w:tc>
        <w:tc>
          <w:tcPr>
            <w:tcW w:w="194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FE599" w:themeFill="accent4" w:themeFillTint="66" w:val="clear"/>
            <w:tcMar>
              <w:left w:w="98" w:type="dxa"/>
            </w:tcMar>
          </w:tcPr>
          <w:p>
            <w:pPr>
              <w:pStyle w:val="Normal"/>
              <w:spacing w:before="0" w:after="200"/>
              <w:jc w:val="center"/>
              <w:rPr>
                <w:rFonts w:ascii="Cambria" w:hAnsi="Cambria" w:cs="Arial"/>
                <w:b/>
                <w:b/>
                <w:bCs/>
              </w:rPr>
            </w:pPr>
            <w:r>
              <w:rPr>
                <w:rFonts w:cs="Arial" w:ascii="Cambria" w:hAnsi="Cambria"/>
                <w:b/>
                <w:bCs/>
              </w:rPr>
              <w:t>Србија</w:t>
            </w:r>
          </w:p>
        </w:tc>
      </w:tr>
      <w:tr>
        <w:trPr/>
        <w:tc>
          <w:tcPr>
            <w:tcW w:w="50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ListParagraph"/>
              <w:spacing w:before="0" w:after="200"/>
              <w:ind w:left="0" w:hanging="0"/>
              <w:contextualSpacing/>
              <w:rPr>
                <w:rFonts w:ascii="Cambria" w:hAnsi="Cambria" w:cs="Arial"/>
              </w:rPr>
            </w:pPr>
            <w:r>
              <w:rPr>
                <w:rFonts w:cs="Arial" w:ascii="Cambria" w:hAnsi="Cambria"/>
              </w:rPr>
              <w:t>Укупан број (попис 2011) :</w:t>
            </w:r>
          </w:p>
        </w:tc>
        <w:tc>
          <w:tcPr>
            <w:tcW w:w="199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right"/>
              <w:rPr>
                <w:rFonts w:ascii="Cambria" w:hAnsi="Cambria" w:cs="Arial"/>
                <w:i/>
                <w:i/>
                <w:color w:val="000000"/>
              </w:rPr>
            </w:pPr>
            <w:r>
              <w:rPr>
                <w:rFonts w:cs="Arial" w:ascii="Cambria" w:hAnsi="Cambria"/>
                <w:i/>
                <w:color w:val="000000"/>
              </w:rPr>
              <w:t>23316</w:t>
            </w:r>
          </w:p>
        </w:tc>
        <w:tc>
          <w:tcPr>
            <w:tcW w:w="194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right"/>
              <w:rPr>
                <w:rFonts w:ascii="Cambria" w:hAnsi="Cambria" w:cs="Arial"/>
                <w:i/>
                <w:i/>
              </w:rPr>
            </w:pPr>
            <w:r>
              <w:rPr>
                <w:rFonts w:cs="Arial" w:ascii="Cambria" w:hAnsi="Cambria"/>
                <w:i/>
                <w:color w:val="000000"/>
              </w:rPr>
              <w:t>7186862</w:t>
            </w:r>
          </w:p>
        </w:tc>
      </w:tr>
      <w:tr>
        <w:trPr/>
        <w:tc>
          <w:tcPr>
            <w:tcW w:w="50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ListParagraph"/>
              <w:spacing w:before="0" w:after="200"/>
              <w:ind w:left="0" w:hanging="0"/>
              <w:contextualSpacing/>
              <w:rPr>
                <w:rFonts w:ascii="Cambria" w:hAnsi="Cambria" w:cs="Arial"/>
              </w:rPr>
            </w:pPr>
            <w:r>
              <w:rPr>
                <w:rFonts w:cs="Arial" w:ascii="Cambria" w:hAnsi="Cambria"/>
              </w:rPr>
              <w:t>Процењен број становника (2019)</w:t>
            </w:r>
          </w:p>
        </w:tc>
        <w:tc>
          <w:tcPr>
            <w:tcW w:w="199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right"/>
              <w:rPr>
                <w:rFonts w:ascii="Cambria" w:hAnsi="Cambria" w:cs="Arial"/>
                <w:i/>
                <w:i/>
                <w:color w:val="000000"/>
              </w:rPr>
            </w:pPr>
            <w:r>
              <w:rPr>
                <w:rFonts w:cs="Arial" w:ascii="Cambria" w:hAnsi="Cambria"/>
                <w:i/>
                <w:color w:val="000000"/>
              </w:rPr>
              <w:t>21630</w:t>
            </w:r>
          </w:p>
        </w:tc>
        <w:tc>
          <w:tcPr>
            <w:tcW w:w="194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right"/>
              <w:rPr>
                <w:rFonts w:ascii="Cambria" w:hAnsi="Cambria" w:cs="Arial"/>
                <w:i/>
                <w:i/>
                <w:color w:val="000000"/>
              </w:rPr>
            </w:pPr>
            <w:r>
              <w:rPr>
                <w:rFonts w:cs="Arial" w:ascii="Cambria" w:hAnsi="Cambria"/>
                <w:i/>
                <w:color w:val="000000"/>
              </w:rPr>
              <w:t>6945235</w:t>
            </w:r>
          </w:p>
        </w:tc>
      </w:tr>
      <w:tr>
        <w:trPr/>
        <w:tc>
          <w:tcPr>
            <w:tcW w:w="50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ListParagraph"/>
              <w:spacing w:before="0" w:after="200"/>
              <w:ind w:left="0" w:hanging="0"/>
              <w:contextualSpacing/>
              <w:rPr>
                <w:rFonts w:ascii="Cambria" w:hAnsi="Cambria" w:cs="Arial"/>
              </w:rPr>
            </w:pPr>
            <w:r>
              <w:rPr>
                <w:rFonts w:cs="Arial" w:ascii="Cambria" w:hAnsi="Cambria"/>
              </w:rPr>
              <w:t>Природни прираштај на 1000 становника(2019)</w:t>
            </w:r>
          </w:p>
        </w:tc>
        <w:tc>
          <w:tcPr>
            <w:tcW w:w="199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center"/>
              <w:rPr>
                <w:rFonts w:ascii="Cambria" w:hAnsi="Cambria" w:cs="Arial"/>
                <w:i/>
                <w:i/>
              </w:rPr>
            </w:pPr>
            <w:r>
              <w:rPr>
                <w:rFonts w:cs="Arial" w:ascii="Cambria" w:hAnsi="Cambria"/>
                <w:i/>
              </w:rPr>
              <w:t>- 11,4</w:t>
            </w:r>
          </w:p>
        </w:tc>
        <w:tc>
          <w:tcPr>
            <w:tcW w:w="194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center"/>
              <w:rPr>
                <w:rFonts w:ascii="Cambria" w:hAnsi="Cambria" w:cs="Arial"/>
                <w:i/>
                <w:i/>
              </w:rPr>
            </w:pPr>
            <w:r>
              <w:rPr>
                <w:rFonts w:cs="Arial" w:ascii="Cambria" w:hAnsi="Cambria"/>
                <w:i/>
              </w:rPr>
              <w:t>- 5,3</w:t>
            </w:r>
          </w:p>
        </w:tc>
      </w:tr>
      <w:tr>
        <w:trPr/>
        <w:tc>
          <w:tcPr>
            <w:tcW w:w="50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ListParagraph"/>
              <w:spacing w:before="0" w:after="200"/>
              <w:ind w:left="0" w:hanging="0"/>
              <w:contextualSpacing/>
              <w:rPr>
                <w:rFonts w:ascii="Cambria" w:hAnsi="Cambria" w:cs="Arial"/>
              </w:rPr>
            </w:pPr>
            <w:r>
              <w:rPr>
                <w:rFonts w:cs="Arial" w:ascii="Cambria" w:hAnsi="Cambria"/>
              </w:rPr>
              <w:t xml:space="preserve">Смањење броја становника  попис 2002 – 2011 </w:t>
            </w:r>
          </w:p>
        </w:tc>
        <w:tc>
          <w:tcPr>
            <w:tcW w:w="199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center"/>
              <w:rPr>
                <w:rFonts w:ascii="Cambria" w:hAnsi="Cambria" w:cs="Arial"/>
                <w:i/>
                <w:i/>
              </w:rPr>
            </w:pPr>
            <w:r>
              <w:rPr>
                <w:rFonts w:cs="Arial" w:ascii="Cambria" w:hAnsi="Cambria"/>
                <w:i/>
              </w:rPr>
              <w:t>8,81 %</w:t>
            </w:r>
          </w:p>
        </w:tc>
        <w:tc>
          <w:tcPr>
            <w:tcW w:w="194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tcPr>
          <w:p>
            <w:pPr>
              <w:pStyle w:val="Normal"/>
              <w:spacing w:before="0" w:after="200"/>
              <w:jc w:val="center"/>
              <w:rPr>
                <w:rFonts w:ascii="Cambria" w:hAnsi="Cambria" w:cs="Arial"/>
                <w:i/>
                <w:i/>
              </w:rPr>
            </w:pPr>
            <w:r>
              <w:rPr>
                <w:rFonts w:cs="Arial" w:ascii="Cambria" w:hAnsi="Cambria"/>
                <w:i/>
              </w:rPr>
              <w:t>4,15 %</w:t>
            </w:r>
          </w:p>
        </w:tc>
      </w:tr>
    </w:tbl>
    <w:p>
      <w:pPr>
        <w:pStyle w:val="Normal"/>
        <w:jc w:val="both"/>
        <w:rPr>
          <w:rFonts w:ascii="Cambria" w:hAnsi="Cambria" w:cs="Arial"/>
          <w:i/>
          <w:i/>
          <w:u w:val="single"/>
        </w:rPr>
      </w:pPr>
      <w:r>
        <w:rPr>
          <w:rFonts w:cs="Arial" w:ascii="Cambria" w:hAnsi="Cambria"/>
          <w:i/>
          <w:u w:val="single"/>
        </w:rPr>
      </w:r>
    </w:p>
    <w:p>
      <w:pPr>
        <w:pStyle w:val="Normal"/>
        <w:spacing w:before="0" w:after="60"/>
        <w:jc w:val="both"/>
        <w:rPr>
          <w:rFonts w:ascii="Cambria" w:hAnsi="Cambria" w:cs="Arial"/>
        </w:rPr>
      </w:pPr>
      <w:r>
        <w:rPr>
          <w:rFonts w:cs="Arial" w:ascii="Cambria" w:hAnsi="Cambria"/>
        </w:rPr>
        <w:t>Анализа демографског развоја општине Сента извршена је на основу званичних статистичких података пописа становништва у периоду 1991-2011. године. У општини Сента, у укупно 5 насељених места, према попису становништва 2011. године, живи 23316 становника, у 9383 домаћинстава, просечне величине 2,5 члана по домаћинству.</w:t>
      </w:r>
    </w:p>
    <w:p>
      <w:pPr>
        <w:pStyle w:val="Normal"/>
        <w:spacing w:before="0" w:after="60"/>
        <w:jc w:val="both"/>
        <w:rPr/>
      </w:pPr>
      <w:r>
        <w:rPr>
          <w:rFonts w:cs="Arial" w:ascii="Cambria" w:hAnsi="Cambria"/>
        </w:rPr>
        <w:t>У периоду 2002.-2011. године, укупан број становника општине Сента смањио се за 8,81% или 2252 лица.. Општа демографска ситуација општине Сента је неповољна. Карактеристичан је перманентан пад популације у свим насељима, уз неповољну старосну структуру, са високим индексом старења и изразито високом негативном стопом природног прираштаја. Очекује се да ће се у свим насељима наставити процес депопулације, уз погоршање виталних карактеристика популације, те је неопходно применом одговарајућих мера демографске политике, бар ублажити негативне популационе тенденције.</w:t>
      </w:r>
    </w:p>
    <w:p>
      <w:pPr>
        <w:pStyle w:val="Normal"/>
        <w:spacing w:before="0" w:after="60"/>
        <w:jc w:val="both"/>
        <w:rPr>
          <w:rFonts w:ascii="Cambria" w:hAnsi="Cambria" w:cs="Arial"/>
        </w:rPr>
      </w:pPr>
      <w:r>
        <w:rPr>
          <w:rFonts w:cs="Arial" w:ascii="Cambria" w:hAnsi="Cambria"/>
        </w:rPr>
      </w:r>
    </w:p>
    <w:p>
      <w:pPr>
        <w:pStyle w:val="Normal"/>
        <w:spacing w:before="0" w:after="120"/>
        <w:jc w:val="center"/>
        <w:rPr/>
      </w:pPr>
      <w:r>
        <w:rPr/>
        <w:drawing>
          <wp:inline distT="0" distB="0" distL="0" distR="0">
            <wp:extent cx="3924300" cy="20955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before="0" w:after="60"/>
        <w:jc w:val="center"/>
        <w:rPr>
          <w:rFonts w:ascii="Cambria" w:hAnsi="Cambria"/>
          <w:iCs/>
          <w:lang w:val="sr-RS"/>
        </w:rPr>
      </w:pPr>
      <w:r>
        <w:rPr>
          <w:rFonts w:ascii="Cambria" w:hAnsi="Cambria"/>
          <w:iCs/>
          <w:lang w:val="sr-RS"/>
        </w:rPr>
        <w:t>УНЕТИ НАЗИВ ТАБЕЛЕ</w:t>
      </w:r>
    </w:p>
    <w:p>
      <w:pPr>
        <w:pStyle w:val="Normal"/>
        <w:spacing w:before="0" w:after="60"/>
        <w:jc w:val="both"/>
        <w:rPr>
          <w:rFonts w:ascii="Cambria" w:hAnsi="Cambria"/>
          <w:iCs/>
        </w:rPr>
      </w:pPr>
      <w:r>
        <w:rPr>
          <w:rFonts w:ascii="Cambria" w:hAnsi="Cambria"/>
          <w:iCs/>
        </w:rPr>
      </w:r>
    </w:p>
    <w:p>
      <w:pPr>
        <w:pStyle w:val="Normal"/>
        <w:spacing w:before="0" w:after="60"/>
        <w:jc w:val="both"/>
        <w:rPr>
          <w:rFonts w:ascii="Cambria" w:hAnsi="Cambria" w:cs="Arial"/>
          <w:iCs/>
        </w:rPr>
      </w:pPr>
      <w:r>
        <w:rPr>
          <w:rFonts w:ascii="Cambria" w:hAnsi="Cambria"/>
          <w:iCs/>
        </w:rPr>
        <w:t>Национална</w:t>
      </w:r>
      <w:r>
        <w:rPr>
          <w:rFonts w:cs="Arial" w:ascii="Cambria" w:hAnsi="Cambria"/>
          <w:iCs/>
        </w:rPr>
        <w:t xml:space="preserve"> структура становништва</w:t>
      </w:r>
    </w:p>
    <w:p>
      <w:pPr>
        <w:pStyle w:val="Normal"/>
        <w:spacing w:before="0" w:after="120"/>
        <w:jc w:val="both"/>
        <w:rPr>
          <w:rFonts w:ascii="Cambria" w:hAnsi="Cambria" w:cs="Arial"/>
        </w:rPr>
      </w:pPr>
      <w:r>
        <w:rPr>
          <w:rFonts w:cs="Arial" w:ascii="Cambria" w:hAnsi="Cambria"/>
        </w:rPr>
        <w:t>Општина Сента, према последњем званичном попису, броји 23.316 становника те представља мултинационалну средину и највећу етничку групацију чине Мађари са укупно 18.444 становника што чини 79,10 % од укупног броја становништва. Срби чине 10,86 % становништва са 2.533 становника, Роми са 595 становника представљају 2,55 %, и остале етничке заједнице њих 1744 (Албанци, Буњевци, Горанци,  Македонци, Муслимани, Немци,  Румуни, Руси, Русини, Словенци, Словаци, Југословени, Украјинци, Хрвати, Црногорци, неопредељени као и регионална припадност) који заједно чине 7,48% укупног становништва општине Сента.</w:t>
      </w:r>
    </w:p>
    <w:p>
      <w:pPr>
        <w:pStyle w:val="Normal"/>
        <w:spacing w:before="120" w:after="120"/>
        <w:jc w:val="center"/>
        <w:rPr>
          <w:rFonts w:ascii="Arial" w:hAnsi="Arial" w:cs="Arial"/>
          <w:b/>
          <w:b/>
        </w:rPr>
      </w:pPr>
      <w:r>
        <w:rPr/>
        <w:drawing>
          <wp:inline distT="0" distB="0" distL="0" distR="0">
            <wp:extent cx="5448300" cy="17145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before="0" w:after="120"/>
        <w:jc w:val="both"/>
        <w:rPr>
          <w:rFonts w:ascii="Cambria" w:hAnsi="Cambria" w:cs="Arial"/>
        </w:rPr>
      </w:pPr>
      <w:r>
        <w:rPr>
          <w:rFonts w:cs="Arial" w:ascii="Cambria" w:hAnsi="Cambria"/>
        </w:rPr>
      </w:r>
    </w:p>
    <w:p>
      <w:pPr>
        <w:pStyle w:val="Normal"/>
        <w:rPr/>
      </w:pPr>
      <w:r>
        <w:rPr>
          <w:rFonts w:cs="Arial" w:ascii="Cambria" w:hAnsi="Cambria"/>
        </w:rPr>
        <w:t>У општини Сента вредност стопе наталитета у посматраном периоду, као што се види на следећем дијаграму,  је у паду и у 2019. години износи 8,69, а стопа морталитета је веома висока са вредношћу од 20,11,  док је  стопа природног прираштаја негативног предзнака и износи -11,42 што је значајно погоршање у односу на 2015. годину када је та вредност износила  -7,83.</w:t>
      </w:r>
    </w:p>
    <w:p>
      <w:pPr>
        <w:pStyle w:val="Normal"/>
        <w:tabs>
          <w:tab w:val="left" w:pos="120" w:leader="none"/>
          <w:tab w:val="left" w:pos="540" w:leader="none"/>
          <w:tab w:val="right" w:pos="9120" w:leader="dot"/>
        </w:tabs>
        <w:jc w:val="center"/>
        <w:rPr>
          <w:rFonts w:ascii="Cambria" w:hAnsi="Cambria"/>
          <w:bCs/>
          <w:sz w:val="20"/>
          <w:szCs w:val="20"/>
        </w:rPr>
      </w:pPr>
      <w:r>
        <w:rPr/>
        <w:drawing>
          <wp:inline distT="0" distB="0" distL="0" distR="0">
            <wp:extent cx="4347845" cy="216789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tabs>
          <w:tab w:val="left" w:pos="120" w:leader="none"/>
          <w:tab w:val="left" w:pos="540" w:leader="none"/>
          <w:tab w:val="right" w:pos="9120" w:leader="dot"/>
        </w:tabs>
        <w:jc w:val="center"/>
        <w:rPr>
          <w:rFonts w:ascii="Cambria" w:hAnsi="Cambria"/>
          <w:bCs/>
          <w:sz w:val="20"/>
          <w:szCs w:val="20"/>
        </w:rPr>
      </w:pPr>
      <w:r>
        <w:rPr>
          <w:rFonts w:ascii="Cambria" w:hAnsi="Cambria"/>
          <w:bCs/>
          <w:sz w:val="20"/>
          <w:szCs w:val="20"/>
        </w:rPr>
      </w:r>
    </w:p>
    <w:p>
      <w:pPr>
        <w:pStyle w:val="Normal"/>
        <w:rPr>
          <w:b/>
          <w:b/>
          <w:bCs/>
          <w:i w:val="false"/>
          <w:i w:val="false"/>
          <w:iCs w:val="false"/>
        </w:rPr>
      </w:pPr>
      <w:r>
        <w:rPr>
          <w:rFonts w:ascii="Cambria" w:hAnsi="Cambria"/>
          <w:b/>
          <w:bCs/>
          <w:i w:val="false"/>
          <w:iCs w:val="false"/>
        </w:rPr>
        <w:t xml:space="preserve">2. 3 </w:t>
      </w:r>
      <w:r>
        <w:rPr>
          <w:rFonts w:ascii="Cambria" w:hAnsi="Cambria"/>
          <w:b/>
          <w:bCs/>
          <w:i w:val="false"/>
          <w:iCs w:val="false"/>
          <w:lang w:val="sr-RS"/>
        </w:rPr>
        <w:t>Систем о</w:t>
      </w:r>
      <w:r>
        <w:rPr>
          <w:rFonts w:ascii="Cambria" w:hAnsi="Cambria"/>
          <w:b/>
          <w:bCs/>
          <w:i w:val="false"/>
          <w:iCs w:val="false"/>
        </w:rPr>
        <w:t>бразовањ</w:t>
      </w:r>
      <w:r>
        <w:rPr>
          <w:rFonts w:ascii="Cambria" w:hAnsi="Cambria"/>
          <w:b/>
          <w:bCs/>
          <w:i w:val="false"/>
          <w:iCs w:val="false"/>
          <w:lang w:val="sr-RS"/>
        </w:rPr>
        <w:t>а</w:t>
      </w:r>
    </w:p>
    <w:p>
      <w:pPr>
        <w:pStyle w:val="Normal"/>
        <w:spacing w:before="0" w:after="60"/>
        <w:jc w:val="both"/>
        <w:rPr>
          <w:rFonts w:ascii="Cambria" w:hAnsi="Cambria"/>
          <w:iCs/>
        </w:rPr>
      </w:pPr>
      <w:r>
        <w:rPr>
          <w:rFonts w:ascii="Cambria" w:hAnsi="Cambria"/>
          <w:iCs/>
        </w:rPr>
        <w:t>Образовна структура становништва</w:t>
      </w:r>
    </w:p>
    <w:tbl>
      <w:tblPr>
        <w:tblW w:w="946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1950"/>
        <w:gridCol w:w="1133"/>
        <w:gridCol w:w="1277"/>
        <w:gridCol w:w="1273"/>
        <w:gridCol w:w="1277"/>
        <w:gridCol w:w="1277"/>
        <w:gridCol w:w="1276"/>
      </w:tblGrid>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eastAsia="Calibri" w:cs="Arial"/>
                <w:b/>
                <w:b/>
                <w:i/>
                <w:i/>
                <w:iCs/>
                <w:sz w:val="20"/>
                <w:szCs w:val="20"/>
              </w:rPr>
            </w:pPr>
            <w:r>
              <w:rPr>
                <w:rFonts w:cs="Arial" w:ascii="Cambria" w:hAnsi="Cambria"/>
                <w:b/>
                <w:bCs/>
                <w:i/>
                <w:sz w:val="20"/>
                <w:szCs w:val="20"/>
              </w:rPr>
              <w:t>општина Сента – попис 2011</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Без школске спреме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Непотпуно основно образов.</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Основно образов.</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Средње образов.</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Више образов.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i/>
                <w:i/>
                <w:sz w:val="20"/>
                <w:szCs w:val="20"/>
              </w:rPr>
            </w:pPr>
            <w:r>
              <w:rPr>
                <w:rFonts w:cs="Arial" w:ascii="Cambria" w:hAnsi="Cambria"/>
                <w:i/>
                <w:sz w:val="20"/>
                <w:szCs w:val="20"/>
              </w:rPr>
              <w:t>Високо образов.</w:t>
            </w:r>
          </w:p>
        </w:tc>
      </w:tr>
      <w:tr>
        <w:trPr>
          <w:trHeight w:val="465"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eastAsia="Calibri" w:cs="Arial"/>
                <w:b/>
                <w:b/>
                <w:sz w:val="20"/>
                <w:szCs w:val="20"/>
              </w:rPr>
            </w:pPr>
            <w:r>
              <w:rPr>
                <w:rFonts w:eastAsia="Calibri" w:cs="Arial" w:ascii="Cambria" w:hAnsi="Cambria"/>
                <w:b/>
                <w:sz w:val="20"/>
                <w:szCs w:val="20"/>
              </w:rPr>
              <w:t>Укупно</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332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2,791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4,863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9,317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1,168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1,491</w:t>
            </w:r>
          </w:p>
        </w:tc>
      </w:tr>
      <w:tr>
        <w:trPr>
          <w:trHeight w:val="465"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eastAsia="Calibri" w:cs="Arial"/>
                <w:b/>
                <w:b/>
                <w:sz w:val="20"/>
                <w:szCs w:val="20"/>
              </w:rPr>
            </w:pPr>
            <w:r>
              <w:rPr>
                <w:rFonts w:eastAsia="Calibri" w:cs="Arial" w:ascii="Cambria" w:hAnsi="Cambria"/>
                <w:b/>
                <w:sz w:val="20"/>
                <w:szCs w:val="20"/>
              </w:rPr>
              <w:t>Мушко</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152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1,065</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2,245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4,848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588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696</w:t>
            </w:r>
          </w:p>
        </w:tc>
      </w:tr>
      <w:tr>
        <w:trPr>
          <w:trHeight w:val="465"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eastAsia="Calibri" w:cs="Arial"/>
                <w:b/>
                <w:b/>
                <w:sz w:val="20"/>
                <w:szCs w:val="20"/>
              </w:rPr>
            </w:pPr>
            <w:r>
              <w:rPr>
                <w:rFonts w:eastAsia="Calibri" w:cs="Arial" w:ascii="Cambria" w:hAnsi="Cambria"/>
                <w:b/>
                <w:sz w:val="20"/>
                <w:szCs w:val="20"/>
              </w:rPr>
              <w:t>Женско</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180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1,726</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2,618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4,469</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580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right"/>
              <w:rPr>
                <w:rFonts w:ascii="Cambria" w:hAnsi="Cambria" w:eastAsia="Calibri" w:cs="Arial"/>
                <w:i/>
                <w:i/>
              </w:rPr>
            </w:pPr>
            <w:r>
              <w:rPr>
                <w:rFonts w:eastAsia="Calibri" w:cs="Arial" w:ascii="Cambria" w:hAnsi="Cambria"/>
                <w:i/>
              </w:rPr>
              <w:t>795</w:t>
            </w:r>
          </w:p>
        </w:tc>
      </w:tr>
    </w:tbl>
    <w:p>
      <w:pPr>
        <w:pStyle w:val="Normal"/>
        <w:tabs>
          <w:tab w:val="left" w:pos="120" w:leader="none"/>
          <w:tab w:val="left" w:pos="540" w:leader="none"/>
          <w:tab w:val="right" w:pos="9120" w:leader="dot"/>
        </w:tabs>
        <w:rPr>
          <w:rFonts w:ascii="Cambria" w:hAnsi="Cambria"/>
        </w:rPr>
      </w:pPr>
      <w:r>
        <w:rPr>
          <w:rFonts w:ascii="Cambria" w:hAnsi="Cambria"/>
        </w:rPr>
      </w:r>
    </w:p>
    <w:p>
      <w:pPr>
        <w:pStyle w:val="Normal"/>
        <w:spacing w:before="0" w:after="120"/>
        <w:jc w:val="both"/>
        <w:rPr>
          <w:rFonts w:ascii="Cambria" w:hAnsi="Cambria"/>
          <w:iCs/>
        </w:rPr>
      </w:pPr>
      <w:r>
        <w:rPr>
          <w:rFonts w:ascii="Cambria" w:hAnsi="Cambria"/>
          <w:iCs/>
        </w:rPr>
        <w:t>Предшколско образовање</w:t>
      </w:r>
    </w:p>
    <w:p>
      <w:pPr>
        <w:pStyle w:val="Normal"/>
        <w:spacing w:before="0" w:after="120"/>
        <w:jc w:val="both"/>
        <w:rPr>
          <w:rFonts w:ascii="Cambria" w:hAnsi="Cambria"/>
        </w:rPr>
      </w:pPr>
      <w:r>
        <w:rPr>
          <w:rFonts w:ascii="Cambria" w:hAnsi="Cambria"/>
        </w:rPr>
        <w:t>У дечијем вртићу "Снежана" рад се одвија у једанаест објеката; девет објеката су у власништву установе - седам у Сенти, један у Горњем Брегу, један у Торњошу, а одељења у Богарашу и Кевију смештај су нашле у зградама Основне школе "Стеван Сремац". 1998. године на иницијативу васпитача, сваки објекат добија своје име.</w:t>
      </w:r>
    </w:p>
    <w:p>
      <w:pPr>
        <w:pStyle w:val="Normal"/>
        <w:spacing w:before="0" w:after="120"/>
        <w:jc w:val="both"/>
        <w:rPr>
          <w:rFonts w:ascii="Cambria" w:hAnsi="Cambria" w:cs="Arial"/>
          <w:iCs/>
        </w:rPr>
      </w:pPr>
      <w:r>
        <w:rPr>
          <w:rFonts w:cs="Arial" w:ascii="Cambria" w:hAnsi="Cambria"/>
          <w:iCs/>
        </w:rPr>
        <w:t>У следећим дијаграмима приказани су подаци Општине Сента за 2019. годину и упоређују се са подацима следећих општина: Бечеј, Кањижа и Бачка Топола а такође  и у односу на покрајински и републички просек</w:t>
      </w:r>
    </w:p>
    <w:p>
      <w:pPr>
        <w:pStyle w:val="Normal"/>
        <w:spacing w:before="0" w:after="120"/>
        <w:jc w:val="center"/>
        <w:rPr>
          <w:rFonts w:ascii="Cambria" w:hAnsi="Cambria"/>
          <w:bCs/>
          <w:i/>
          <w:i/>
          <w:iCs/>
          <w:sz w:val="20"/>
          <w:szCs w:val="20"/>
        </w:rPr>
      </w:pPr>
      <w:r>
        <w:rPr>
          <w:rFonts w:ascii="Cambria" w:hAnsi="Cambria"/>
          <w:bCs/>
          <w:i/>
          <w:iCs/>
          <w:sz w:val="20"/>
          <w:szCs w:val="20"/>
        </w:rPr>
        <w:t xml:space="preserve">Обухват деце узраста од 0-3, од 3 до поласка у ППП и која похађају ППП (%)у односу на </w:t>
        <w:br/>
        <w:t>општине из окружења и републички и покрајински просек - 2019. година</w:t>
      </w:r>
    </w:p>
    <w:p>
      <w:pPr>
        <w:pStyle w:val="Normal"/>
        <w:tabs>
          <w:tab w:val="left" w:pos="120" w:leader="none"/>
          <w:tab w:val="left" w:pos="540" w:leader="none"/>
          <w:tab w:val="right" w:pos="9120" w:leader="dot"/>
        </w:tabs>
        <w:jc w:val="center"/>
        <w:rPr>
          <w:rFonts w:ascii="Cambria" w:hAnsi="Cambria"/>
          <w:bCs/>
          <w:sz w:val="20"/>
          <w:szCs w:val="20"/>
        </w:rPr>
      </w:pPr>
      <w:r>
        <w:rPr/>
        <w:drawing>
          <wp:inline distT="0" distB="0" distL="0" distR="0">
            <wp:extent cx="4715510" cy="252031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rPr>
          <w:rFonts w:ascii="Cambria" w:hAnsi="Cambria"/>
          <w:i/>
          <w:i/>
        </w:rPr>
      </w:pPr>
      <w:r>
        <w:rPr>
          <w:rFonts w:ascii="Cambria" w:hAnsi="Cambria"/>
          <w:i/>
        </w:rPr>
      </w:r>
    </w:p>
    <w:p>
      <w:pPr>
        <w:pStyle w:val="Normal"/>
        <w:rPr>
          <w:rFonts w:ascii="Cambria" w:hAnsi="Cambria"/>
          <w:i/>
          <w:i/>
        </w:rPr>
      </w:pPr>
      <w:bookmarkStart w:id="0" w:name="_Hlk75433835"/>
      <w:bookmarkEnd w:id="0"/>
      <w:r>
        <w:rPr>
          <w:rFonts w:ascii="Cambria" w:hAnsi="Cambria"/>
          <w:i/>
        </w:rPr>
        <w:t>Основно и средње образовање</w:t>
      </w:r>
    </w:p>
    <w:p>
      <w:pPr>
        <w:pStyle w:val="Normal"/>
        <w:spacing w:before="0" w:after="60"/>
        <w:jc w:val="both"/>
        <w:rPr>
          <w:rFonts w:ascii="Cambria" w:hAnsi="Cambria"/>
          <w:iCs/>
        </w:rPr>
      </w:pPr>
      <w:r>
        <w:rPr>
          <w:rFonts w:ascii="Cambria" w:hAnsi="Cambria"/>
          <w:iCs/>
        </w:rPr>
        <w:t>На територији општине постоје три средње школе: Гимназија, Економско-трговачка и Медицинска средња школа и пет  основне школе.  2003. године отворена је Математичка гимназија за талентоване ученике „Болyаи“ на мађарском језику. Поред основне школе постоји и нижа Музичка школа, која веома успешно ради са више стотина ђака.</w:t>
      </w:r>
    </w:p>
    <w:p>
      <w:pPr>
        <w:pStyle w:val="Normal"/>
        <w:spacing w:before="0" w:after="60"/>
        <w:jc w:val="both"/>
        <w:rPr>
          <w:rFonts w:ascii="Cambria" w:hAnsi="Cambria"/>
          <w:iCs/>
        </w:rPr>
      </w:pPr>
      <w:r>
        <w:rPr>
          <w:rFonts w:ascii="Cambria" w:hAnsi="Cambria"/>
          <w:iCs/>
        </w:rPr>
        <w:t xml:space="preserve">Основно образовање и васпитање на територији општине Сента остварује се у: </w:t>
      </w:r>
    </w:p>
    <w:p>
      <w:pPr>
        <w:pStyle w:val="Normal"/>
        <w:spacing w:before="0" w:after="60"/>
        <w:jc w:val="both"/>
        <w:rPr>
          <w:rFonts w:ascii="Cambria" w:hAnsi="Cambria"/>
          <w:iCs/>
        </w:rPr>
      </w:pPr>
      <w:r>
        <w:rPr>
          <w:rFonts w:ascii="Cambria" w:hAnsi="Cambria"/>
          <w:iCs/>
        </w:rPr>
        <w:t xml:space="preserve">- четири (4) основне матичне школе и три (3) издвојена одељења за образовање ученика узраста од првог до четвртог, односно осмог разреда, </w:t>
      </w:r>
    </w:p>
    <w:p>
      <w:pPr>
        <w:pStyle w:val="Normal"/>
        <w:spacing w:before="0" w:after="60"/>
        <w:jc w:val="both"/>
        <w:rPr>
          <w:rFonts w:ascii="Cambria" w:hAnsi="Cambria"/>
          <w:iCs/>
        </w:rPr>
      </w:pPr>
      <w:r>
        <w:rPr>
          <w:rFonts w:ascii="Cambria" w:hAnsi="Cambria"/>
          <w:iCs/>
        </w:rPr>
        <w:t>- једној (1) основној матичној школи за музичко образовање и четири (4) издвојена одељења, за образовање ученика узраста од првог до шестог разреда.</w:t>
      </w:r>
    </w:p>
    <w:p>
      <w:pPr>
        <w:pStyle w:val="Normal"/>
        <w:spacing w:before="0" w:after="60"/>
        <w:jc w:val="both"/>
        <w:rPr>
          <w:rFonts w:ascii="Cambria" w:hAnsi="Cambria"/>
          <w:iCs/>
        </w:rPr>
      </w:pPr>
      <w:r>
        <w:rPr>
          <w:rFonts w:ascii="Cambria" w:hAnsi="Cambria"/>
          <w:iCs/>
        </w:rPr>
        <w:t xml:space="preserve">Мрежу школа чине јавне основне школе које делатност основног образовања и васпитања обављају у седишту и ван седишта, организовањем издвојених одељења на територији општине Сента, односно једног издвојеног одељења на територији општине Чока. </w:t>
      </w:r>
    </w:p>
    <w:p>
      <w:pPr>
        <w:pStyle w:val="Normal"/>
        <w:spacing w:before="0" w:after="60"/>
        <w:jc w:val="both"/>
        <w:rPr>
          <w:rFonts w:ascii="Cambria" w:hAnsi="Cambria"/>
          <w:iCs/>
        </w:rPr>
      </w:pPr>
      <w:r>
        <w:rPr>
          <w:rFonts w:ascii="Cambria" w:hAnsi="Cambria"/>
          <w:iCs/>
        </w:rPr>
        <w:t xml:space="preserve">Мрежу школа чине: </w:t>
      </w:r>
    </w:p>
    <w:p>
      <w:pPr>
        <w:pStyle w:val="Normal"/>
        <w:spacing w:before="0" w:after="60"/>
        <w:jc w:val="both"/>
        <w:rPr>
          <w:rFonts w:ascii="Cambria" w:hAnsi="Cambria"/>
          <w:iCs/>
        </w:rPr>
      </w:pPr>
      <w:r>
        <w:rPr>
          <w:rFonts w:ascii="Cambria" w:hAnsi="Cambria"/>
          <w:iCs/>
        </w:rPr>
        <w:t xml:space="preserve">1. Основна школа „Стеван Сремац“ у Сенти ул. Максима Горког бр. 1., </w:t>
      </w:r>
    </w:p>
    <w:p>
      <w:pPr>
        <w:pStyle w:val="Normal"/>
        <w:spacing w:before="0" w:after="60"/>
        <w:jc w:val="both"/>
        <w:rPr>
          <w:rFonts w:ascii="Cambria" w:hAnsi="Cambria"/>
          <w:iCs/>
        </w:rPr>
      </w:pPr>
      <w:r>
        <w:rPr>
          <w:rFonts w:ascii="Cambria" w:hAnsi="Cambria"/>
          <w:iCs/>
        </w:rPr>
        <w:t xml:space="preserve">2. Основна школа „Петефи Шандор“ у Сенти, ул. Арпадова бр. 83., </w:t>
      </w:r>
    </w:p>
    <w:p>
      <w:pPr>
        <w:pStyle w:val="Normal"/>
        <w:spacing w:before="0" w:after="60"/>
        <w:jc w:val="both"/>
        <w:rPr>
          <w:rFonts w:ascii="Cambria" w:hAnsi="Cambria"/>
          <w:iCs/>
        </w:rPr>
      </w:pPr>
      <w:r>
        <w:rPr>
          <w:rFonts w:ascii="Cambria" w:hAnsi="Cambria"/>
          <w:iCs/>
        </w:rPr>
        <w:t xml:space="preserve">3. Основна школа „Турзо Лајош“ у Сенти, ул. Железничка бр. 44., </w:t>
      </w:r>
    </w:p>
    <w:p>
      <w:pPr>
        <w:pStyle w:val="Normal"/>
        <w:spacing w:before="0" w:after="60"/>
        <w:jc w:val="both"/>
        <w:rPr>
          <w:rFonts w:ascii="Cambria" w:hAnsi="Cambria"/>
          <w:iCs/>
        </w:rPr>
      </w:pPr>
      <w:r>
        <w:rPr>
          <w:rFonts w:ascii="Cambria" w:hAnsi="Cambria"/>
          <w:iCs/>
        </w:rPr>
        <w:t xml:space="preserve">4. Основна школа „Темеркењ Иштван“ у Торњошу, ул. Радноти Миклоша бр. 12. и </w:t>
      </w:r>
    </w:p>
    <w:p>
      <w:pPr>
        <w:pStyle w:val="Normal"/>
        <w:spacing w:before="0" w:after="60"/>
        <w:jc w:val="both"/>
        <w:rPr>
          <w:rFonts w:ascii="Cambria" w:hAnsi="Cambria"/>
          <w:iCs/>
        </w:rPr>
      </w:pPr>
      <w:r>
        <w:rPr>
          <w:rFonts w:ascii="Cambria" w:hAnsi="Cambria"/>
          <w:iCs/>
        </w:rPr>
        <w:t xml:space="preserve">5. Основна музичка школа „Стеван Мокрањац“ у Сенти, ул. Главна 36. </w:t>
      </w:r>
    </w:p>
    <w:p>
      <w:pPr>
        <w:pStyle w:val="Normal"/>
        <w:spacing w:before="0" w:after="60"/>
        <w:jc w:val="both"/>
        <w:rPr>
          <w:rFonts w:ascii="Cambria" w:hAnsi="Cambria"/>
          <w:iCs/>
        </w:rPr>
      </w:pPr>
      <w:r>
        <w:rPr>
          <w:rFonts w:ascii="Cambria" w:hAnsi="Cambria"/>
          <w:iCs/>
        </w:rPr>
        <w:t xml:space="preserve">У оквиру Основне школе „Петефи Шандор“ у Сенти организује се издвојено одељење, и то: Издвојено одељење „Чоконаи Витез Михаљ“ у Горњем Брегу, ул. Велики сокак бр. 37/а. </w:t>
      </w:r>
    </w:p>
    <w:p>
      <w:pPr>
        <w:pStyle w:val="Normal"/>
        <w:spacing w:before="0" w:after="60"/>
        <w:jc w:val="both"/>
        <w:rPr>
          <w:rFonts w:ascii="Cambria" w:hAnsi="Cambria"/>
          <w:iCs/>
        </w:rPr>
      </w:pPr>
      <w:r>
        <w:rPr>
          <w:rFonts w:ascii="Cambria" w:hAnsi="Cambria"/>
          <w:iCs/>
        </w:rPr>
        <w:t xml:space="preserve">У оквиру Основне школе „Темеркењ Иштван“ у Торњошу, организују се у два издвојена одељења, и то: </w:t>
      </w:r>
    </w:p>
    <w:p>
      <w:pPr>
        <w:pStyle w:val="Normal"/>
        <w:spacing w:before="0" w:after="60"/>
        <w:jc w:val="both"/>
        <w:rPr>
          <w:rFonts w:ascii="Cambria" w:hAnsi="Cambria"/>
          <w:iCs/>
        </w:rPr>
      </w:pPr>
      <w:r>
        <w:rPr>
          <w:rFonts w:ascii="Cambria" w:hAnsi="Cambria"/>
          <w:iCs/>
        </w:rPr>
        <w:t xml:space="preserve">1. Издвојено одељење „Кеви“ у Кевију , ул. Кошут Лајоша 6. и </w:t>
      </w:r>
    </w:p>
    <w:p>
      <w:pPr>
        <w:pStyle w:val="Normal"/>
        <w:spacing w:before="0" w:after="60"/>
        <w:jc w:val="both"/>
        <w:rPr>
          <w:rFonts w:ascii="Cambria" w:hAnsi="Cambria"/>
          <w:iCs/>
        </w:rPr>
      </w:pPr>
      <w:r>
        <w:rPr>
          <w:rFonts w:ascii="Cambria" w:hAnsi="Cambria"/>
          <w:iCs/>
        </w:rPr>
        <w:t>2. Издвојено одељење „Богараш“ у Богарашу, ул. Маршала Тита 25.</w:t>
      </w:r>
    </w:p>
    <w:p>
      <w:pPr>
        <w:pStyle w:val="Normal"/>
        <w:spacing w:before="0" w:after="60"/>
        <w:jc w:val="both"/>
        <w:rPr>
          <w:rFonts w:ascii="Cambria" w:hAnsi="Cambria"/>
          <w:iCs/>
        </w:rPr>
      </w:pPr>
      <w:r>
        <w:rPr>
          <w:rFonts w:ascii="Cambria" w:hAnsi="Cambria"/>
          <w:iCs/>
        </w:rPr>
        <w:t xml:space="preserve">У оквиру Основне музичке школе „Стеван Мокрањац“ у Сенти се налазе и четири издвојена одељења, и то: </w:t>
      </w:r>
    </w:p>
    <w:p>
      <w:pPr>
        <w:pStyle w:val="Normal"/>
        <w:spacing w:before="0" w:after="60"/>
        <w:jc w:val="both"/>
        <w:rPr>
          <w:rFonts w:ascii="Cambria" w:hAnsi="Cambria"/>
          <w:iCs/>
        </w:rPr>
      </w:pPr>
      <w:r>
        <w:rPr>
          <w:rFonts w:ascii="Cambria" w:hAnsi="Cambria"/>
          <w:iCs/>
        </w:rPr>
        <w:t xml:space="preserve">1. Издвојено одељење у Чоки, ул. Бранка Радичевића бр. 11. </w:t>
      </w:r>
    </w:p>
    <w:p>
      <w:pPr>
        <w:pStyle w:val="Normal"/>
        <w:spacing w:before="0" w:after="60"/>
        <w:jc w:val="both"/>
        <w:rPr>
          <w:rFonts w:ascii="Cambria" w:hAnsi="Cambria"/>
          <w:iCs/>
        </w:rPr>
      </w:pPr>
      <w:r>
        <w:rPr>
          <w:rFonts w:ascii="Cambria" w:hAnsi="Cambria"/>
          <w:iCs/>
        </w:rPr>
        <w:t xml:space="preserve">2. Издвојено одељење у Горњем Брегу, Мали сокак бр. 59. </w:t>
      </w:r>
    </w:p>
    <w:p>
      <w:pPr>
        <w:pStyle w:val="Normal"/>
        <w:spacing w:before="0" w:after="60"/>
        <w:jc w:val="both"/>
        <w:rPr>
          <w:rFonts w:ascii="Cambria" w:hAnsi="Cambria"/>
          <w:iCs/>
        </w:rPr>
      </w:pPr>
      <w:r>
        <w:rPr>
          <w:rFonts w:ascii="Cambria" w:hAnsi="Cambria"/>
          <w:iCs/>
        </w:rPr>
        <w:t xml:space="preserve">3. Издвојено одељење у Торњошу, ул. Светог Стевана бр. 3. и </w:t>
      </w:r>
    </w:p>
    <w:p>
      <w:pPr>
        <w:pStyle w:val="Normal"/>
        <w:spacing w:before="0" w:after="60"/>
        <w:jc w:val="both"/>
        <w:rPr>
          <w:rFonts w:ascii="Cambria" w:hAnsi="Cambria"/>
          <w:iCs/>
        </w:rPr>
      </w:pPr>
      <w:r>
        <w:rPr>
          <w:rFonts w:ascii="Cambria" w:hAnsi="Cambria"/>
          <w:iCs/>
        </w:rPr>
        <w:t>4. Издвојено одељење у Сенти, Главни трг бр.4.</w:t>
      </w:r>
    </w:p>
    <w:p>
      <w:pPr>
        <w:pStyle w:val="Normal"/>
        <w:widowControl/>
        <w:bidi w:val="0"/>
        <w:spacing w:lineRule="auto" w:line="276" w:before="0" w:after="60"/>
        <w:ind w:left="0" w:right="-809" w:hanging="0"/>
        <w:jc w:val="both"/>
        <w:rPr>
          <w:rFonts w:ascii="Cambria" w:hAnsi="Cambria"/>
          <w:iCs/>
        </w:rPr>
      </w:pPr>
      <w:r>
        <w:rPr>
          <w:rFonts w:ascii="Cambria" w:hAnsi="Cambria"/>
          <w:iCs/>
        </w:rPr>
      </w:r>
    </w:p>
    <w:p>
      <w:pPr>
        <w:pStyle w:val="Normal"/>
        <w:widowControl/>
        <w:bidi w:val="0"/>
        <w:spacing w:lineRule="auto" w:line="276" w:before="0" w:after="60"/>
        <w:ind w:left="0" w:right="-809" w:hanging="0"/>
        <w:jc w:val="center"/>
        <w:rPr>
          <w:rFonts w:ascii="Cambria" w:hAnsi="Cambria" w:cs="Arial"/>
        </w:rPr>
      </w:pPr>
      <w:r>
        <w:rPr>
          <w:rFonts w:cs="Arial" w:ascii="Cambria" w:hAnsi="Cambria"/>
        </w:rPr>
      </w:r>
    </w:p>
    <w:p>
      <w:pPr>
        <w:pStyle w:val="Normal"/>
        <w:rPr>
          <w:rFonts w:ascii="Cambria" w:hAnsi="Cambria"/>
          <w:bCs/>
          <w:i/>
          <w:i/>
          <w:iCs/>
        </w:rPr>
      </w:pPr>
      <w:r>
        <w:rPr>
          <w:rFonts w:ascii="Cambria" w:hAnsi="Cambria"/>
          <w:b/>
          <w:bCs/>
          <w:i w:val="false"/>
          <w:iCs w:val="false"/>
        </w:rPr>
        <w:t>2.4 Тржиште рада</w:t>
      </w:r>
    </w:p>
    <w:p>
      <w:pPr>
        <w:pStyle w:val="Normal"/>
        <w:tabs>
          <w:tab w:val="left" w:pos="120" w:leader="none"/>
          <w:tab w:val="left" w:pos="540" w:leader="none"/>
          <w:tab w:val="left" w:pos="2640" w:leader="none"/>
        </w:tabs>
        <w:spacing w:before="0" w:after="120"/>
        <w:rPr>
          <w:rFonts w:ascii="Cambria" w:hAnsi="Cambria"/>
        </w:rPr>
      </w:pPr>
      <w:r>
        <w:rPr>
          <w:rFonts w:ascii="Cambria" w:hAnsi="Cambria"/>
          <w:i/>
        </w:rPr>
        <w:t>Запосленост</w:t>
      </w:r>
    </w:p>
    <w:tbl>
      <w:tblPr>
        <w:tblpPr w:bottomFromText="0" w:horzAnchor="text" w:leftFromText="180" w:rightFromText="180" w:tblpX="0" w:tblpY="1" w:topFromText="0" w:vertAnchor="text"/>
        <w:tblW w:w="1428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311"/>
        <w:gridCol w:w="998"/>
        <w:gridCol w:w="1530"/>
        <w:gridCol w:w="810"/>
        <w:gridCol w:w="810"/>
        <w:gridCol w:w="4166"/>
        <w:gridCol w:w="1659"/>
      </w:tblGrid>
      <w:tr>
        <w:trPr>
          <w:trHeight w:val="397" w:hRule="atLeast"/>
        </w:trPr>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widowControl/>
              <w:bidi w:val="0"/>
              <w:spacing w:lineRule="auto" w:line="276" w:before="0" w:after="200"/>
              <w:jc w:val="left"/>
              <w:rPr>
                <w:rFonts w:ascii="Cambria" w:hAnsi="Cambria" w:cs="Arial"/>
                <w:b/>
                <w:b/>
                <w:bCs/>
                <w:i/>
                <w:i/>
                <w:sz w:val="20"/>
                <w:szCs w:val="20"/>
              </w:rPr>
            </w:pPr>
            <w:r>
              <w:rPr>
                <w:rFonts w:cs="Arial" w:ascii="Cambria" w:hAnsi="Cambria"/>
                <w:b/>
                <w:bCs/>
                <w:i/>
              </w:rPr>
              <w:t>општина Сента</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2015</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2016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2017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2018</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2019</w:t>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rFonts w:ascii="Cambria" w:hAnsi="Cambria" w:cs="Arial"/>
                <w:b/>
                <w:b/>
                <w:bCs/>
              </w:rPr>
            </w:pPr>
            <w:r>
              <w:rPr>
                <w:rFonts w:cs="Arial" w:ascii="Cambria" w:hAnsi="Cambria"/>
                <w:b/>
                <w:bCs/>
              </w:rPr>
              <w:t>2020</w:t>
            </w:r>
          </w:p>
        </w:tc>
      </w:tr>
      <w:tr>
        <w:trPr>
          <w:trHeight w:val="397" w:hRule="atLeast"/>
        </w:trPr>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Cambria" w:hAnsi="Cambria" w:cs="Arial"/>
                <w:i/>
                <w:i/>
                <w:sz w:val="20"/>
                <w:szCs w:val="20"/>
              </w:rPr>
            </w:pPr>
            <w:r>
              <w:rPr>
                <w:rFonts w:cs="Arial" w:ascii="Cambria" w:hAnsi="Cambria"/>
                <w:i/>
                <w:sz w:val="20"/>
                <w:szCs w:val="20"/>
              </w:rPr>
              <w:t>Укупан број запослених</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6,990</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6,732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6,795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cs="Arial" w:ascii="Cambria" w:hAnsi="Cambria"/>
                <w:color w:val="000000"/>
              </w:rPr>
              <w:t>7,350</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7,591</w:t>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7,780</w:t>
            </w:r>
          </w:p>
        </w:tc>
      </w:tr>
      <w:tr>
        <w:trPr>
          <w:trHeight w:val="397" w:hRule="atLeast"/>
        </w:trPr>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Cambria" w:hAnsi="Cambria" w:cs="Arial"/>
                <w:i/>
                <w:i/>
                <w:sz w:val="20"/>
                <w:szCs w:val="20"/>
              </w:rPr>
            </w:pPr>
            <w:r>
              <w:rPr>
                <w:rFonts w:cs="Arial" w:ascii="Cambria" w:hAnsi="Cambria"/>
                <w:i/>
                <w:sz w:val="20"/>
                <w:szCs w:val="20"/>
              </w:rPr>
              <w:t>Број запослених код привредних друштава</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5,601</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5,337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5,396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5,980</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6,258</w:t>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jc w:val="right"/>
              <w:rPr>
                <w:rFonts w:ascii="Cambria" w:hAnsi="Cambria" w:cs="Arial"/>
                <w:color w:val="000000"/>
              </w:rPr>
            </w:pPr>
            <w:r>
              <w:rPr>
                <w:rFonts w:cs="Arial" w:ascii="Cambria" w:hAnsi="Cambria"/>
                <w:color w:val="000000"/>
              </w:rPr>
              <w:t>6,475</w:t>
            </w:r>
          </w:p>
        </w:tc>
      </w:tr>
      <w:tr>
        <w:trPr>
          <w:trHeight w:val="397" w:hRule="atLeast"/>
        </w:trPr>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Cambria" w:hAnsi="Cambria" w:cs="Arial"/>
                <w:i/>
                <w:i/>
                <w:sz w:val="20"/>
                <w:szCs w:val="20"/>
              </w:rPr>
            </w:pPr>
            <w:r>
              <w:rPr>
                <w:rFonts w:cs="Arial" w:ascii="Cambria" w:hAnsi="Cambria"/>
                <w:i/>
                <w:sz w:val="20"/>
                <w:szCs w:val="20"/>
              </w:rPr>
              <w:t>Број запослених код предузетника</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825</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839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857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848</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834</w:t>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836</w:t>
            </w:r>
          </w:p>
        </w:tc>
      </w:tr>
      <w:tr>
        <w:trPr>
          <w:trHeight w:val="397" w:hRule="atLeast"/>
        </w:trPr>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Cambria" w:hAnsi="Cambria" w:cs="Arial"/>
                <w:i/>
                <w:i/>
                <w:sz w:val="20"/>
                <w:szCs w:val="20"/>
              </w:rPr>
            </w:pPr>
            <w:r>
              <w:rPr>
                <w:rFonts w:cs="Arial" w:ascii="Cambria" w:hAnsi="Cambria"/>
                <w:i/>
                <w:sz w:val="20"/>
                <w:szCs w:val="20"/>
              </w:rPr>
              <w:t>Број регистрованих индивидуалних пољопривредника</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563</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556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541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522</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499</w:t>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jc w:val="right"/>
              <w:rPr>
                <w:rFonts w:ascii="Cambria" w:hAnsi="Cambria" w:eastAsia="Calibri"/>
                <w:color w:val="000000"/>
              </w:rPr>
            </w:pPr>
            <w:r>
              <w:rPr>
                <w:rFonts w:eastAsia="Calibri" w:ascii="Cambria" w:hAnsi="Cambria"/>
                <w:color w:val="000000"/>
              </w:rPr>
              <w:t>470</w:t>
            </w:r>
          </w:p>
        </w:tc>
      </w:tr>
    </w:tbl>
    <w:p>
      <w:pPr>
        <w:pStyle w:val="Normal"/>
        <w:spacing w:before="120" w:after="120"/>
        <w:jc w:val="both"/>
        <w:rPr/>
      </w:pPr>
      <w:r>
        <w:rPr>
          <w:rFonts w:cs="Arial" w:ascii="Cambria" w:hAnsi="Cambria"/>
        </w:rPr>
        <w:t xml:space="preserve">На крају 2020. године, по подацима </w:t>
      </w:r>
      <w:r>
        <w:rPr>
          <w:rFonts w:cs="Arial" w:ascii="Cambria" w:hAnsi="Cambria"/>
          <w:lang w:val="sr-RS"/>
        </w:rPr>
        <w:t>Р</w:t>
      </w:r>
      <w:r>
        <w:rPr>
          <w:rFonts w:cs="Arial" w:ascii="Cambria" w:hAnsi="Cambria"/>
        </w:rPr>
        <w:t>епубличког завода за статистику на територији општине Сента било је запослено 7780 лица што чини 35,97% укупне популације што је за око 4 % више од републичког просека.</w:t>
      </w:r>
    </w:p>
    <w:p>
      <w:pPr>
        <w:pStyle w:val="Normal"/>
        <w:jc w:val="both"/>
        <w:rPr>
          <w:rFonts w:ascii="Cambria" w:hAnsi="Cambria" w:cs="Arial"/>
          <w:i/>
          <w:i/>
          <w:sz w:val="20"/>
          <w:szCs w:val="20"/>
        </w:rPr>
      </w:pPr>
      <w:r>
        <w:rPr>
          <w:rFonts w:cs="Arial" w:ascii="Cambria" w:hAnsi="Cambria"/>
          <w:i/>
          <w:sz w:val="20"/>
          <w:szCs w:val="20"/>
        </w:rPr>
      </w:r>
    </w:p>
    <w:p>
      <w:pPr>
        <w:pStyle w:val="Normal"/>
        <w:tabs>
          <w:tab w:val="left" w:pos="120" w:leader="none"/>
          <w:tab w:val="left" w:pos="540" w:leader="none"/>
          <w:tab w:val="right" w:pos="9120" w:leader="dot"/>
        </w:tabs>
        <w:spacing w:before="0" w:after="120"/>
        <w:rPr/>
      </w:pPr>
      <w:r>
        <w:rPr>
          <w:rFonts w:ascii="Cambria" w:hAnsi="Cambria"/>
          <w:i/>
          <w:iCs/>
        </w:rPr>
        <w:t>Незапосленост</w:t>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6506845" cy="1678940"/>
                <wp:effectExtent l="0" t="0" r="0" b="0"/>
                <wp:wrapSquare wrapText="bothSides"/>
                <wp:docPr id="6" name="Frame1"/>
                <a:graphic xmlns:a="http://schemas.openxmlformats.org/drawingml/2006/main">
                  <a:graphicData uri="http://schemas.microsoft.com/office/word/2010/wordprocessingShape">
                    <wps:wsp>
                      <wps:cNvSpPr/>
                      <wps:spPr>
                        <a:xfrm>
                          <a:off x="0" y="0"/>
                          <a:ext cx="6506280" cy="1678320"/>
                        </a:xfrm>
                        <a:prstGeom prst="rect">
                          <a:avLst/>
                        </a:prstGeom>
                        <a:noFill/>
                        <a:ln>
                          <a:noFill/>
                        </a:ln>
                      </wps:spPr>
                      <wps:style>
                        <a:lnRef idx="0"/>
                        <a:fillRef idx="0"/>
                        <a:effectRef idx="0"/>
                        <a:fontRef idx="minor"/>
                      </wps:style>
                      <wps:txbx>
                        <w:txbxContent>
                          <w:tbl>
                            <w:tblPr>
                              <w:tblW w:w="102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2568"/>
                              <w:gridCol w:w="1536"/>
                              <w:gridCol w:w="1532"/>
                              <w:gridCol w:w="1536"/>
                              <w:gridCol w:w="1536"/>
                              <w:gridCol w:w="1536"/>
                            </w:tblGrid>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widowControl/>
                                    <w:bidi w:val="0"/>
                                    <w:spacing w:lineRule="auto" w:line="276" w:before="0" w:after="200"/>
                                    <w:jc w:val="left"/>
                                    <w:rPr/>
                                  </w:pPr>
                                  <w:r>
                                    <w:rPr>
                                      <w:rFonts w:cs="Arial" w:ascii="Cambria" w:hAnsi="Cambria"/>
                                      <w:b/>
                                      <w:bCs/>
                                      <w:i/>
                                    </w:rPr>
                                    <w:t>општина Сента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2015</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2017</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2018</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2019</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 xml:space="preserve">Укупан број </w:t>
                                  </w:r>
                                  <w:r>
                                    <w:rPr/>
                                    <w:t xml:space="preserve"> </w:t>
                                  </w:r>
                                  <w:r>
                                    <w:rPr>
                                      <w:rFonts w:cs="Arial" w:ascii="Cambria" w:hAnsi="Cambria"/>
                                      <w:i/>
                                      <w:sz w:val="20"/>
                                      <w:szCs w:val="20"/>
                                    </w:rPr>
                                    <w:t>незапослених</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1019</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1240</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1171</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1001</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940</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Незапослена лица на 1000 становника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53</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43</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Незапослене жене, као % незапослених лица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46.0</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47.9</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49.6</w:t>
                                  </w:r>
                                </w:p>
                              </w:tc>
                            </w:tr>
                          </w:tbl>
                          <w:p>
                            <w:pPr>
                              <w:pStyle w:val="FrameContents"/>
                              <w:spacing w:before="0" w:after="200"/>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65pt;margin-top:0.05pt;width:512.25pt;height:132.1pt">
                <w10:wrap type="none"/>
                <v:fill o:detectmouseclick="t" on="false"/>
                <v:stroke color="#3465a4" joinstyle="round" endcap="flat"/>
                <v:textbox>
                  <w:txbxContent>
                    <w:tbl>
                      <w:tblPr>
                        <w:tblW w:w="102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2568"/>
                        <w:gridCol w:w="1536"/>
                        <w:gridCol w:w="1532"/>
                        <w:gridCol w:w="1536"/>
                        <w:gridCol w:w="1536"/>
                        <w:gridCol w:w="1536"/>
                      </w:tblGrid>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widowControl/>
                              <w:bidi w:val="0"/>
                              <w:spacing w:lineRule="auto" w:line="276" w:before="0" w:after="200"/>
                              <w:jc w:val="left"/>
                              <w:rPr/>
                            </w:pPr>
                            <w:r>
                              <w:rPr>
                                <w:rFonts w:cs="Arial" w:ascii="Cambria" w:hAnsi="Cambria"/>
                                <w:b/>
                                <w:bCs/>
                                <w:i/>
                              </w:rPr>
                              <w:t>општина Сента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2015</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2017</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2018</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3" w:type="dxa"/>
                            </w:tcMar>
                            <w:vAlign w:val="center"/>
                          </w:tcPr>
                          <w:p>
                            <w:pPr>
                              <w:pStyle w:val="Normal"/>
                              <w:spacing w:before="0" w:after="200"/>
                              <w:jc w:val="center"/>
                              <w:rPr/>
                            </w:pPr>
                            <w:r>
                              <w:rPr>
                                <w:rFonts w:cs="Arial" w:ascii="Cambria" w:hAnsi="Cambria"/>
                                <w:b/>
                                <w:bCs/>
                              </w:rPr>
                              <w:t>2019</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 xml:space="preserve">Укупан број </w:t>
                            </w:r>
                            <w:r>
                              <w:rPr/>
                              <w:t xml:space="preserve"> </w:t>
                            </w:r>
                            <w:r>
                              <w:rPr>
                                <w:rFonts w:cs="Arial" w:ascii="Cambria" w:hAnsi="Cambria"/>
                                <w:i/>
                                <w:sz w:val="20"/>
                                <w:szCs w:val="20"/>
                              </w:rPr>
                              <w:t>незапослених</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1019</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1240</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1171</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1001</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940</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Незапослена лица на 1000 становника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53</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43</w:t>
                            </w:r>
                          </w:p>
                        </w:tc>
                      </w:tr>
                      <w:tr>
                        <w:trPr>
                          <w:trHeight w:val="397" w:hRule="atLeast"/>
                        </w:trPr>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pPr>
                            <w:r>
                              <w:rPr>
                                <w:rFonts w:cs="Arial" w:ascii="Cambria" w:hAnsi="Cambria"/>
                                <w:i/>
                                <w:sz w:val="20"/>
                                <w:szCs w:val="20"/>
                              </w:rPr>
                              <w:t>Незапослене жене, као % незапослених лица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46.0</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45.6</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47.9</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jc w:val="right"/>
                              <w:rPr/>
                            </w:pPr>
                            <w:r>
                              <w:rPr>
                                <w:rFonts w:eastAsia="Calibri" w:ascii="Cambria" w:hAnsi="Cambria"/>
                                <w:color w:val="000000"/>
                              </w:rPr>
                              <w:t>49.6</w:t>
                            </w:r>
                          </w:p>
                        </w:tc>
                      </w:tr>
                    </w:tbl>
                    <w:p>
                      <w:pPr>
                        <w:pStyle w:val="FrameContents"/>
                        <w:spacing w:before="0" w:after="200"/>
                        <w:rPr>
                          <w:color w:val="000000"/>
                        </w:rPr>
                      </w:pPr>
                      <w:r>
                        <w:rPr>
                          <w:color w:val="000000"/>
                        </w:rPr>
                      </w:r>
                    </w:p>
                  </w:txbxContent>
                </v:textbox>
              </v:rect>
            </w:pict>
          </mc:Fallback>
        </mc:AlternateContent>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eastAsiaTheme="minorHAnsi" w:ascii="Cambria" w:hAnsi="Cambria"/>
        </w:rPr>
      </w:r>
    </w:p>
    <w:p>
      <w:pPr>
        <w:pStyle w:val="Normal"/>
        <w:tabs>
          <w:tab w:val="left" w:pos="1905" w:leader="none"/>
        </w:tabs>
        <w:spacing w:before="0" w:after="120"/>
        <w:jc w:val="both"/>
        <w:rPr>
          <w:rFonts w:ascii="Cambria" w:hAnsi="Cambria" w:eastAsia="Calibri" w:cs="Arial" w:eastAsiaTheme="minorHAnsi"/>
        </w:rPr>
      </w:pPr>
      <w:r>
        <w:rPr>
          <w:rFonts w:eastAsia="Calibri" w:cs="Arial" w:ascii="Cambria" w:hAnsi="Cambria" w:eastAsiaTheme="minorHAnsi"/>
        </w:rPr>
        <w:t>На крају 2019. године, по подацима Националне службе за запошљавање на евиденцији регистрованих незапослених лица на територији општине Сента било је 940 лица што чини 4,35 % укупне популације, од чега је жена 466, што чини 49,6 % од укупно незапослених на евиденцији НСЗ. Што се тиче образовне структуре регистрованих незапослених лица на евиденцији НСЗ највише је неквалификованих лица 65,8% и регистрованих незапослених лица са ИИИ и ИВ степеном стручне спреме 29,4%, док је незапослених лица са високом или вишом стручном спремом њих 4,8%.</w:t>
      </w:r>
    </w:p>
    <w:p>
      <w:pPr>
        <w:pStyle w:val="Normal"/>
        <w:tabs>
          <w:tab w:val="left" w:pos="120" w:leader="none"/>
          <w:tab w:val="left" w:pos="540" w:leader="none"/>
          <w:tab w:val="right" w:pos="9120" w:leader="dot"/>
        </w:tabs>
        <w:spacing w:before="120" w:after="120"/>
        <w:rPr>
          <w:rFonts w:ascii="Cambria" w:hAnsi="Cambria"/>
          <w:i/>
          <w:i/>
          <w:iCs/>
        </w:rPr>
      </w:pPr>
      <w:r>
        <w:rPr>
          <w:rFonts w:ascii="Cambria" w:hAnsi="Cambria"/>
          <w:i/>
          <w:iCs/>
        </w:rPr>
      </w:r>
    </w:p>
    <w:p>
      <w:pPr>
        <w:pStyle w:val="Normal"/>
        <w:tabs>
          <w:tab w:val="left" w:pos="120" w:leader="none"/>
          <w:tab w:val="left" w:pos="540" w:leader="none"/>
          <w:tab w:val="right" w:pos="9120" w:leader="dot"/>
        </w:tabs>
        <w:spacing w:before="120" w:after="120"/>
        <w:rPr>
          <w:rFonts w:ascii="Cambria" w:hAnsi="Cambria"/>
          <w:i/>
          <w:i/>
          <w:iCs/>
        </w:rPr>
      </w:pPr>
      <w:r>
        <w:rPr>
          <w:rFonts w:ascii="Cambria" w:hAnsi="Cambria"/>
          <w:i/>
          <w:iCs/>
        </w:rPr>
        <w:t>Зараде</w:t>
      </w:r>
    </w:p>
    <w:p>
      <w:pPr>
        <w:pStyle w:val="Normal"/>
        <w:jc w:val="both"/>
        <w:rPr/>
      </w:pPr>
      <w:r>
        <w:rPr>
          <w:rFonts w:eastAsia="Calibri" w:cs="Arial" w:ascii="Cambria" w:hAnsi="Cambria" w:eastAsiaTheme="minorHAnsi"/>
        </w:rPr>
        <w:t>По подацима републичког завода за статистику, Општина Сента се налази на 69. месту рангираних општина и градова (од укупно 175), према висини просечне нето зараде, у 2018. години (последњи доступан податак), те спада у групу општина које су по овом показатељу у групи општина са вредностима између 80-100% у односу на републички просек.</w:t>
      </w:r>
    </w:p>
    <w:p>
      <w:pPr>
        <w:pStyle w:val="Normal"/>
        <w:spacing w:before="0" w:after="120"/>
        <w:jc w:val="both"/>
        <w:rPr>
          <w:rFonts w:ascii="Cambria" w:hAnsi="Cambria" w:cs="Arial"/>
          <w:bCs/>
          <w:i/>
          <w:i/>
          <w:iCs/>
        </w:rPr>
      </w:pPr>
      <w:r>
        <w:rPr>
          <w:rFonts w:cs="Arial" w:ascii="Cambria" w:hAnsi="Cambria"/>
          <w:bCs/>
          <w:i/>
          <w:iCs/>
        </w:rPr>
      </w:r>
    </w:p>
    <w:p>
      <w:pPr>
        <w:pStyle w:val="Normal"/>
        <w:spacing w:before="0" w:after="120"/>
        <w:jc w:val="both"/>
        <w:rPr>
          <w:b/>
          <w:b/>
          <w:bCs/>
          <w:i w:val="false"/>
          <w:i w:val="false"/>
          <w:iCs w:val="false"/>
        </w:rPr>
      </w:pPr>
      <w:r>
        <w:rPr>
          <w:b/>
          <w:bCs/>
          <w:i w:val="false"/>
          <w:iCs w:val="false"/>
        </w:rPr>
        <w:t xml:space="preserve">2.5 </w:t>
      </w:r>
      <w:r>
        <w:rPr>
          <w:rFonts w:ascii="Cambria" w:hAnsi="Cambria"/>
          <w:b/>
          <w:bCs/>
          <w:i w:val="false"/>
          <w:iCs w:val="false"/>
        </w:rPr>
        <w:t>Здравствена и социјална заштита</w:t>
      </w:r>
    </w:p>
    <w:p>
      <w:pPr>
        <w:pStyle w:val="Normal"/>
        <w:spacing w:before="0" w:after="120"/>
        <w:jc w:val="both"/>
        <w:rPr>
          <w:rFonts w:ascii="Cambria" w:hAnsi="Cambria" w:cs="Arial"/>
        </w:rPr>
      </w:pPr>
      <w:r>
        <w:rPr>
          <w:rFonts w:cs="Arial" w:ascii="Cambria" w:hAnsi="Cambria"/>
        </w:rPr>
      </w:r>
    </w:p>
    <w:p>
      <w:pPr>
        <w:pStyle w:val="Normal"/>
        <w:tabs>
          <w:tab w:val="left" w:pos="120" w:leader="none"/>
          <w:tab w:val="right" w:pos="9120" w:leader="dot"/>
        </w:tabs>
        <w:spacing w:before="0" w:after="120"/>
        <w:rPr>
          <w:rFonts w:ascii="Cambria" w:hAnsi="Cambria"/>
          <w:bCs/>
          <w:i/>
          <w:i/>
          <w:iCs/>
        </w:rPr>
      </w:pPr>
      <w:r>
        <w:rPr>
          <w:rFonts w:ascii="Cambria" w:hAnsi="Cambria"/>
          <w:bCs/>
          <w:i/>
          <w:iCs/>
        </w:rPr>
        <w:t>Здравствена заштита</w:t>
      </w:r>
    </w:p>
    <w:p>
      <w:pPr>
        <w:pStyle w:val="Normal"/>
        <w:tabs>
          <w:tab w:val="left" w:pos="120" w:leader="none"/>
          <w:tab w:val="left" w:pos="540" w:leader="none"/>
          <w:tab w:val="right" w:pos="9120" w:leader="dot"/>
        </w:tabs>
        <w:spacing w:before="0" w:after="120"/>
        <w:jc w:val="both"/>
        <w:rPr>
          <w:rFonts w:ascii="Cambria" w:hAnsi="Cambria"/>
        </w:rPr>
      </w:pPr>
      <w:r>
        <w:rPr>
          <w:rFonts w:ascii="Cambria" w:hAnsi="Cambria"/>
        </w:rPr>
        <w:t>У општини Сента здравствене установе чине: Болница и Дом здравља.</w:t>
      </w:r>
    </w:p>
    <w:p>
      <w:pPr>
        <w:pStyle w:val="Normal"/>
        <w:tabs>
          <w:tab w:val="left" w:pos="120" w:leader="none"/>
          <w:tab w:val="left" w:pos="540" w:leader="none"/>
          <w:tab w:val="right" w:pos="9120" w:leader="dot"/>
        </w:tabs>
        <w:spacing w:before="0" w:after="120"/>
        <w:jc w:val="both"/>
        <w:rPr>
          <w:rFonts w:ascii="Cambria" w:hAnsi="Cambria"/>
        </w:rPr>
      </w:pPr>
      <w:r>
        <w:rPr>
          <w:rFonts w:ascii="Cambria" w:hAnsi="Cambria"/>
        </w:rPr>
        <w:t>У оквиру болнице налазе се следећа оделења: интерно, хирургија, рехабилитација, неуропсихијатрија, дечије одељење, грудно одељење, гинекологија и акушерство и ОРЛ. Службе и амбуланте у болници су: РТГ служба, очна амбуланта, лабораторија, трансфузија, микробиологија, ултразвучна дијагностика и патологија.</w:t>
      </w:r>
    </w:p>
    <w:p>
      <w:pPr>
        <w:pStyle w:val="Normal"/>
        <w:spacing w:before="0" w:after="120"/>
        <w:jc w:val="both"/>
        <w:rPr/>
      </w:pPr>
      <w:r>
        <w:rPr>
          <w:rFonts w:ascii="Cambria" w:hAnsi="Cambria"/>
        </w:rPr>
        <w:t xml:space="preserve">Дом здравља Сента обухвата: </w:t>
      </w:r>
      <w:r>
        <w:rPr>
          <w:rFonts w:ascii="Cambria" w:hAnsi="Cambria"/>
          <w:lang w:val="sr-Latn-RS"/>
        </w:rPr>
        <w:t>I.</w:t>
      </w:r>
      <w:r>
        <w:rPr>
          <w:rFonts w:ascii="Cambria" w:hAnsi="Cambria"/>
        </w:rPr>
        <w:t xml:space="preserve"> здравствену станицу, </w:t>
      </w:r>
      <w:r>
        <w:rPr>
          <w:rFonts w:ascii="Cambria" w:hAnsi="Cambria"/>
          <w:lang w:val="sr-Latn-RS"/>
        </w:rPr>
        <w:t>II.</w:t>
      </w:r>
      <w:r>
        <w:rPr>
          <w:rFonts w:ascii="Cambria" w:hAnsi="Cambria"/>
        </w:rPr>
        <w:t xml:space="preserve"> здравствену станицу, Здравствену станицу Горњи Брег, Здравствену станицу Торњош, Здравствену станицу Кеви, Здравствену станицу Богараш.</w:t>
      </w:r>
    </w:p>
    <w:p>
      <w:pPr>
        <w:pStyle w:val="Normal"/>
        <w:tabs>
          <w:tab w:val="left" w:pos="120" w:leader="none"/>
          <w:tab w:val="left" w:pos="540" w:leader="none"/>
          <w:tab w:val="right" w:pos="9120" w:leader="dot"/>
        </w:tabs>
        <w:jc w:val="center"/>
        <w:rPr>
          <w:rFonts w:ascii="Cambria" w:hAnsi="Cambria"/>
          <w:bCs/>
          <w:i/>
          <w:i/>
          <w:iCs/>
          <w:sz w:val="20"/>
          <w:szCs w:val="20"/>
        </w:rPr>
      </w:pPr>
      <w:r>
        <w:rPr>
          <w:rFonts w:ascii="Cambria" w:hAnsi="Cambria"/>
          <w:bCs/>
          <w:i/>
          <w:iCs/>
          <w:sz w:val="20"/>
          <w:szCs w:val="20"/>
        </w:rPr>
      </w:r>
    </w:p>
    <w:p>
      <w:pPr>
        <w:pStyle w:val="Normal"/>
        <w:tabs>
          <w:tab w:val="left" w:pos="120" w:leader="none"/>
          <w:tab w:val="left" w:pos="540" w:leader="none"/>
          <w:tab w:val="right" w:pos="9120" w:leader="dot"/>
        </w:tabs>
        <w:jc w:val="center"/>
        <w:rPr>
          <w:rFonts w:ascii="Cambria" w:hAnsi="Cambria"/>
          <w:bCs/>
          <w:i/>
          <w:i/>
          <w:iCs/>
          <w:sz w:val="20"/>
          <w:szCs w:val="20"/>
        </w:rPr>
      </w:pPr>
      <w:r>
        <w:rPr>
          <w:rFonts w:ascii="Cambria" w:hAnsi="Cambria"/>
          <w:bCs/>
          <w:i/>
          <w:iCs/>
          <w:sz w:val="20"/>
          <w:szCs w:val="20"/>
        </w:rPr>
        <w:t>Број лекара на 1000 становника -здравствена заштита деце, здравствена заштита школске деце и омладине, здравствена заштита одраслог становништва, здравствена заштита жена - у односу општине из окружења и републички и покрајински просек-2019.година</w:t>
      </w:r>
    </w:p>
    <w:p>
      <w:pPr>
        <w:pStyle w:val="Normal"/>
        <w:jc w:val="center"/>
        <w:rPr>
          <w:rFonts w:ascii="Cambria" w:hAnsi="Cambria"/>
          <w:sz w:val="20"/>
          <w:szCs w:val="20"/>
        </w:rPr>
      </w:pPr>
      <w:r>
        <w:rPr/>
        <w:drawing>
          <wp:inline distT="0" distB="0" distL="0" distR="0">
            <wp:extent cx="5050155" cy="270002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jc w:val="center"/>
        <w:rPr>
          <w:rFonts w:ascii="Cambria" w:hAnsi="Cambria"/>
          <w:sz w:val="20"/>
          <w:szCs w:val="20"/>
        </w:rPr>
      </w:pPr>
      <w:r>
        <w:rPr>
          <w:rFonts w:ascii="Cambria" w:hAnsi="Cambria"/>
          <w:sz w:val="20"/>
          <w:szCs w:val="20"/>
        </w:rPr>
      </w:r>
    </w:p>
    <w:p>
      <w:pPr>
        <w:pStyle w:val="Normal"/>
        <w:tabs>
          <w:tab w:val="left" w:pos="120" w:leader="none"/>
          <w:tab w:val="left" w:pos="540" w:leader="none"/>
          <w:tab w:val="right" w:pos="9120" w:leader="dot"/>
        </w:tabs>
        <w:jc w:val="center"/>
        <w:rPr>
          <w:rFonts w:ascii="Cambria" w:hAnsi="Cambria"/>
          <w:i/>
          <w:i/>
        </w:rPr>
      </w:pPr>
      <w:r>
        <w:rPr/>
        <w:drawing>
          <wp:inline distT="0" distB="0" distL="0" distR="0">
            <wp:extent cx="5050155" cy="270002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tabs>
          <w:tab w:val="left" w:pos="120" w:leader="none"/>
          <w:tab w:val="left" w:pos="540" w:leader="none"/>
          <w:tab w:val="right" w:pos="9120" w:leader="dot"/>
        </w:tabs>
        <w:rPr>
          <w:rFonts w:ascii="Cambria" w:hAnsi="Cambria"/>
          <w:i/>
          <w:i/>
        </w:rPr>
      </w:pPr>
      <w:r>
        <w:rPr>
          <w:rFonts w:ascii="Cambria" w:hAnsi="Cambria"/>
          <w:i/>
        </w:rPr>
      </w:r>
    </w:p>
    <w:p>
      <w:pPr>
        <w:pStyle w:val="Normal"/>
        <w:tabs>
          <w:tab w:val="left" w:pos="120" w:leader="none"/>
          <w:tab w:val="left" w:pos="540" w:leader="none"/>
          <w:tab w:val="right" w:pos="9120" w:leader="dot"/>
        </w:tabs>
        <w:rPr/>
      </w:pPr>
      <w:r>
        <w:rPr>
          <w:rFonts w:ascii="Cambria" w:hAnsi="Cambria"/>
          <w:bCs/>
          <w:i/>
          <w:iCs/>
        </w:rPr>
        <w:t>Социјална заштита</w:t>
      </w:r>
      <w:r>
        <w:rPr>
          <w:rFonts w:ascii="Cambria" w:hAnsi="Cambria"/>
          <w:i/>
        </w:rPr>
        <w:t xml:space="preserve"> </w:t>
      </w:r>
    </w:p>
    <w:p>
      <w:pPr>
        <w:pStyle w:val="Normal"/>
        <w:tabs>
          <w:tab w:val="left" w:pos="120" w:leader="none"/>
          <w:tab w:val="left" w:pos="540" w:leader="none"/>
          <w:tab w:val="right" w:pos="9120" w:leader="dot"/>
        </w:tabs>
        <w:rPr>
          <w:rFonts w:ascii="Cambria" w:hAnsi="Cambria"/>
          <w:i/>
          <w:i/>
        </w:rPr>
      </w:pPr>
      <w:r>
        <w:rPr>
          <w:rFonts w:ascii="Cambria" w:hAnsi="Cambria"/>
          <w:u w:val="single"/>
        </w:rPr>
        <w:t>Центар за социјални рад Општине Сента</w:t>
      </w:r>
    </w:p>
    <w:p>
      <w:pPr>
        <w:pStyle w:val="Normal"/>
        <w:spacing w:before="0" w:after="120"/>
        <w:jc w:val="both"/>
        <w:rPr/>
      </w:pPr>
      <w:r>
        <w:rPr>
          <w:rFonts w:ascii="Cambria" w:hAnsi="Cambria"/>
        </w:rPr>
        <w:t>За послове социјалне заштите у општини Сента, институционално је надлежан Центар за социјални рад Сента, који је основан 24. новембра 1977. год. Одлуком Скупштине Општине Сента. Центар за социјални рад Сента обавља послове који су му стављени у надлежност Породичним законом, Законом о кривичном поступку, Кривичним законом Републике Србије, Основним кривичним законом, Законом о избеглицама и Уредбом о збрињавању избеглица као и послова које делегира Скупштина Општине.</w:t>
      </w:r>
    </w:p>
    <w:p>
      <w:pPr>
        <w:pStyle w:val="Normal"/>
        <w:spacing w:before="0" w:after="120"/>
        <w:jc w:val="both"/>
        <w:rPr/>
      </w:pPr>
      <w:r>
        <w:rPr>
          <w:rFonts w:cs="Arial" w:ascii="Cambria" w:hAnsi="Cambria"/>
          <w:iCs/>
        </w:rPr>
        <w:t>У следећој табели и дијаграму приказани су подаци Општине Сента за 2019. годину.</w:t>
      </w:r>
    </w:p>
    <w:p>
      <w:pPr>
        <w:pStyle w:val="Normal"/>
        <w:spacing w:before="0" w:after="120"/>
        <w:jc w:val="both"/>
        <w:rPr>
          <w:rFonts w:ascii="Cambria" w:hAnsi="Cambria" w:cs="Arial"/>
          <w:iCs/>
        </w:rPr>
      </w:pPr>
      <w:r>
        <w:rPr>
          <w:rFonts w:cs="Arial" w:ascii="Cambria" w:hAnsi="Cambria"/>
          <w:iCs/>
        </w:rPr>
      </w:r>
    </w:p>
    <w:tbl>
      <w:tblPr>
        <w:tblW w:w="73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4862"/>
        <w:gridCol w:w="2517"/>
      </w:tblGrid>
      <w:tr>
        <w:trPr>
          <w:trHeight w:val="38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widowControl/>
              <w:bidi w:val="0"/>
              <w:spacing w:lineRule="auto" w:line="276" w:before="0" w:after="200"/>
              <w:jc w:val="left"/>
              <w:rPr>
                <w:rFonts w:ascii="Cambria" w:hAnsi="Cambria" w:cs="Arial"/>
                <w:b/>
                <w:b/>
                <w:bCs/>
                <w:i/>
                <w:i/>
              </w:rPr>
            </w:pPr>
            <w:r>
              <w:rPr>
                <w:rFonts w:cs="Arial" w:ascii="Cambria" w:hAnsi="Cambria"/>
                <w:b/>
                <w:bCs/>
                <w:i/>
              </w:rPr>
              <w:t>2019. година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themeFill="accent4" w:themeFillTint="66" w:val="clear"/>
            <w:tcMar>
              <w:left w:w="98" w:type="dxa"/>
            </w:tcMar>
            <w:vAlign w:val="center"/>
          </w:tcPr>
          <w:p>
            <w:pPr>
              <w:pStyle w:val="Normal"/>
              <w:spacing w:before="0" w:after="200"/>
              <w:jc w:val="center"/>
              <w:rPr>
                <w:rFonts w:ascii="Cambria" w:hAnsi="Cambria" w:cs="Arial"/>
                <w:b/>
                <w:b/>
                <w:bCs/>
              </w:rPr>
            </w:pPr>
            <w:r>
              <w:rPr>
                <w:rFonts w:cs="Arial" w:ascii="Cambria" w:hAnsi="Cambria"/>
                <w:b/>
                <w:bCs/>
              </w:rPr>
              <w:t>Сента</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eastAsia="Calibri" w:cs="Arial"/>
                <w:bCs/>
                <w:i/>
                <w:i/>
                <w:iCs/>
                <w:sz w:val="18"/>
                <w:szCs w:val="18"/>
              </w:rPr>
            </w:pPr>
            <w:r>
              <w:rPr>
                <w:rFonts w:eastAsia="Calibri" w:cs="Arial" w:ascii="Cambria" w:hAnsi="Cambria"/>
                <w:bCs/>
                <w:i/>
                <w:iCs/>
                <w:sz w:val="18"/>
                <w:szCs w:val="18"/>
              </w:rPr>
              <w:t>Број корисника социјалне заштите на евиденцији ЦСР</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2330</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стручних радника у ЦСР</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4</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корисника новчане социјалне помоћи</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605</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корисника основног додатка за негу и помоћ другог лица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31</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 xml:space="preserve">Број корисника увећаног додатка за негу и помоћ другог лица  </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124</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корисника дечијег додатка (0-17 година)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363</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 xml:space="preserve">Број корисника увећеног дечијег додатка (0-17 година)  </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536</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пријављених случајева породичног насиља према женама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27</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пријављених случајева породичног насиља према деци</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center"/>
              <w:rPr>
                <w:rFonts w:ascii="Cambria" w:hAnsi="Cambria" w:cs="Arial"/>
                <w:b/>
                <w:b/>
                <w:bCs/>
                <w:color w:val="000000"/>
              </w:rPr>
            </w:pPr>
            <w:r>
              <w:rPr>
                <w:rFonts w:cs="Arial" w:ascii="Cambria" w:hAnsi="Cambria"/>
                <w:b/>
                <w:bCs/>
                <w:color w:val="000000"/>
              </w:rPr>
              <w:t>4</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Број корисника државних домова за смештај старих  (65 + година)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right"/>
              <w:rPr>
                <w:rFonts w:ascii="Cambria" w:hAnsi="Cambria" w:cs="Arial"/>
                <w:b/>
                <w:b/>
                <w:bCs/>
                <w:color w:val="000000"/>
              </w:rPr>
            </w:pPr>
            <w:r>
              <w:rPr>
                <w:rFonts w:cs="Arial" w:ascii="Cambria" w:hAnsi="Cambria"/>
                <w:b/>
                <w:bCs/>
                <w:color w:val="000000"/>
              </w:rPr>
              <w:t>33</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Стопа деце која користе услуге смештаја (0-17 година)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right"/>
              <w:rPr>
                <w:rFonts w:ascii="Cambria" w:hAnsi="Cambria" w:cs="Arial"/>
                <w:b/>
                <w:b/>
                <w:bCs/>
                <w:color w:val="000000"/>
              </w:rPr>
            </w:pPr>
            <w:r>
              <w:rPr>
                <w:rFonts w:cs="Arial" w:ascii="Cambria" w:hAnsi="Cambria"/>
                <w:b/>
                <w:bCs/>
                <w:color w:val="000000"/>
              </w:rPr>
              <w:t>17.27</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Стопа деце у хранитељским породицама</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right"/>
              <w:rPr>
                <w:rFonts w:ascii="Cambria" w:hAnsi="Cambria" w:cs="Arial"/>
                <w:b/>
                <w:b/>
                <w:bCs/>
                <w:color w:val="000000"/>
              </w:rPr>
            </w:pPr>
            <w:r>
              <w:rPr>
                <w:rFonts w:cs="Arial" w:ascii="Cambria" w:hAnsi="Cambria"/>
                <w:b/>
                <w:bCs/>
                <w:color w:val="000000"/>
              </w:rPr>
              <w:t>17.27</w:t>
            </w:r>
          </w:p>
        </w:tc>
      </w:tr>
      <w:tr>
        <w:trPr>
          <w:trHeight w:val="275" w:hRule="atLeast"/>
        </w:trPr>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bidi w:val="0"/>
              <w:spacing w:lineRule="auto" w:line="276" w:before="0" w:after="200"/>
              <w:jc w:val="left"/>
              <w:rPr>
                <w:rFonts w:ascii="Cambria" w:hAnsi="Cambria" w:cs="Arial"/>
                <w:bCs/>
                <w:i/>
                <w:i/>
                <w:iCs/>
                <w:sz w:val="18"/>
                <w:szCs w:val="18"/>
              </w:rPr>
            </w:pPr>
            <w:r>
              <w:rPr>
                <w:rFonts w:cs="Arial" w:ascii="Cambria" w:hAnsi="Cambria"/>
                <w:bCs/>
                <w:i/>
                <w:iCs/>
                <w:sz w:val="18"/>
                <w:szCs w:val="18"/>
              </w:rPr>
              <w:t>Стопа деце у сукобу са законом</w:t>
            </w:r>
          </w:p>
        </w:tc>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before="0" w:after="200"/>
              <w:jc w:val="right"/>
              <w:rPr>
                <w:rFonts w:ascii="Cambria" w:hAnsi="Cambria" w:cs="Arial"/>
                <w:b/>
                <w:b/>
                <w:bCs/>
                <w:color w:val="000000"/>
              </w:rPr>
            </w:pPr>
            <w:r>
              <w:rPr>
                <w:rFonts w:cs="Arial" w:ascii="Cambria" w:hAnsi="Cambria"/>
                <w:b/>
                <w:bCs/>
                <w:color w:val="000000"/>
              </w:rPr>
              <w:t>31.08</w:t>
            </w:r>
          </w:p>
        </w:tc>
      </w:tr>
    </w:tbl>
    <w:p>
      <w:pPr>
        <w:pStyle w:val="Normal"/>
        <w:rPr>
          <w:rFonts w:ascii="Cambria" w:hAnsi="Cambria" w:cs="Arial"/>
          <w:i/>
          <w:i/>
          <w:sz w:val="20"/>
          <w:szCs w:val="20"/>
        </w:rPr>
      </w:pPr>
      <w:r>
        <w:rPr>
          <w:rFonts w:cs="Arial" w:ascii="Cambria" w:hAnsi="Cambria"/>
          <w:i/>
          <w:sz w:val="20"/>
          <w:szCs w:val="20"/>
        </w:rPr>
      </w:r>
    </w:p>
    <w:p>
      <w:pPr>
        <w:pStyle w:val="Normal"/>
        <w:tabs>
          <w:tab w:val="left" w:pos="120" w:leader="none"/>
          <w:tab w:val="left" w:pos="540" w:leader="none"/>
          <w:tab w:val="right" w:pos="9120" w:leader="dot"/>
        </w:tabs>
        <w:spacing w:before="120" w:after="200"/>
        <w:jc w:val="center"/>
        <w:rPr>
          <w:rFonts w:ascii="Cambria" w:hAnsi="Cambria" w:cs="Arial"/>
          <w:i/>
          <w:i/>
          <w:sz w:val="20"/>
          <w:szCs w:val="20"/>
        </w:rPr>
      </w:pPr>
      <w:r>
        <w:rPr>
          <w:rFonts w:cs="Arial" w:ascii="Cambria" w:hAnsi="Cambria"/>
          <w:i/>
          <w:sz w:val="20"/>
          <w:szCs w:val="20"/>
        </w:rPr>
      </w:r>
    </w:p>
    <w:p>
      <w:pPr>
        <w:pStyle w:val="Normal"/>
        <w:spacing w:before="0" w:after="60"/>
        <w:jc w:val="both"/>
        <w:rPr>
          <w:rFonts w:ascii="Cambria" w:hAnsi="Cambria" w:cs="Arial"/>
        </w:rPr>
      </w:pPr>
      <w:r>
        <w:rPr>
          <w:rFonts w:cs="Arial" w:ascii="Cambria" w:hAnsi="Cambria"/>
        </w:rPr>
        <w:t xml:space="preserve">У општини Сента удео корисника социјалне заштите у укупном становништву је испод покрајинског а </w:t>
      </w:r>
      <w:r>
        <w:rPr>
          <w:rFonts w:cs="Arial" w:ascii="Cambria" w:hAnsi="Cambria"/>
          <w:lang w:val="sr-RS"/>
        </w:rPr>
        <w:t>н</w:t>
      </w:r>
      <w:r>
        <w:rPr>
          <w:rFonts w:cs="Arial" w:ascii="Cambria" w:hAnsi="Cambria"/>
        </w:rPr>
        <w:t>ешто виши од републичког просека док је у односу на суседне општине тај проценат најмањи.</w:t>
      </w:r>
    </w:p>
    <w:p>
      <w:pPr>
        <w:pStyle w:val="Normal"/>
        <w:spacing w:before="0" w:after="60"/>
        <w:jc w:val="both"/>
        <w:rPr>
          <w:rFonts w:ascii="Cambria" w:hAnsi="Cambria" w:cs="Arial"/>
        </w:rPr>
      </w:pPr>
      <w:r>
        <w:rPr>
          <w:rFonts w:cs="Arial" w:ascii="Cambria" w:hAnsi="Cambria"/>
        </w:rPr>
        <w:t>Што се тиче стопе деце која користе услуге смештаја и која су у хранитељским породицама, вредности стопе су око 2,5 пута веће покрајинског и више од три пута веће од републичког просека, док је проценат истих у односу на посматране општине такође значајно већи.</w:t>
      </w:r>
    </w:p>
    <w:p>
      <w:pPr>
        <w:pStyle w:val="Normal"/>
        <w:spacing w:before="0" w:after="120"/>
        <w:jc w:val="both"/>
        <w:rPr>
          <w:rFonts w:ascii="Cambria" w:hAnsi="Cambria" w:cs="Arial"/>
        </w:rPr>
      </w:pPr>
      <w:r>
        <w:rPr>
          <w:rFonts w:cs="Arial" w:ascii="Cambria" w:hAnsi="Cambria"/>
        </w:rPr>
        <w:t>Стопа деце у сукобу са законом за Општину Сента у 2019. години је веома висока (31,08) и као таква око три пута већа од покрајинског и републичког просека, док је проценат истих у односу на посматране општине такође значајно већи, од суседне Општине Кањижа нпр. дупло већи.</w:t>
      </w:r>
    </w:p>
    <w:p>
      <w:pPr>
        <w:pStyle w:val="Normal"/>
        <w:tabs>
          <w:tab w:val="left" w:pos="120" w:leader="none"/>
          <w:tab w:val="right" w:pos="9120" w:leader="dot"/>
        </w:tabs>
        <w:spacing w:before="0" w:after="120"/>
        <w:rPr>
          <w:rFonts w:ascii="Cambria" w:hAnsi="Cambria"/>
          <w:bCs/>
        </w:rPr>
      </w:pPr>
      <w:r>
        <w:rPr>
          <w:rFonts w:ascii="Cambria" w:hAnsi="Cambria"/>
          <w:bCs/>
          <w:i/>
          <w:iCs/>
        </w:rPr>
        <w:t>Правосуђе/безбедност:</w:t>
      </w:r>
    </w:p>
    <w:p>
      <w:pPr>
        <w:pStyle w:val="Normal"/>
        <w:tabs>
          <w:tab w:val="left" w:pos="120" w:leader="none"/>
          <w:tab w:val="left" w:pos="540" w:leader="none"/>
          <w:tab w:val="right" w:pos="9120" w:leader="dot"/>
        </w:tabs>
        <w:spacing w:before="120" w:after="200"/>
        <w:jc w:val="both"/>
        <w:rPr/>
      </w:pPr>
      <w:r>
        <w:rPr>
          <w:rFonts w:cs="Arial" w:ascii="Cambria" w:hAnsi="Cambria"/>
          <w:iCs/>
        </w:rPr>
        <w:t>На следећем дијаграму је приказан удео  малолетних учиниоца  кривичних дела којима су изречене кривичне санкције према месту извршења у укупном броју малолетног становништву где се види да су вредности значајно изнад републичког и покрајинског просека, а и у односу на посматране општине из окружења.</w:t>
      </w:r>
    </w:p>
    <w:p>
      <w:pPr>
        <w:pStyle w:val="Normal"/>
        <w:tabs>
          <w:tab w:val="left" w:pos="120" w:leader="none"/>
          <w:tab w:val="left" w:pos="540" w:leader="none"/>
          <w:tab w:val="right" w:pos="9120" w:leader="dot"/>
        </w:tabs>
        <w:spacing w:before="120" w:after="200"/>
        <w:jc w:val="center"/>
        <w:rPr>
          <w:rFonts w:ascii="Cambria" w:hAnsi="Cambria" w:cs="Arial"/>
          <w:i/>
          <w:i/>
          <w:sz w:val="20"/>
          <w:szCs w:val="20"/>
        </w:rPr>
      </w:pPr>
      <w:r>
        <w:rPr>
          <w:rFonts w:cs="Arial" w:ascii="Cambria" w:hAnsi="Cambria"/>
          <w:i/>
          <w:sz w:val="20"/>
          <w:szCs w:val="20"/>
        </w:rPr>
        <w:t>Удео малолетних учиниоца  кривичних дела (14─17 година) којима су изречене кривичне санкције према месту извршења у укупном броју малолетн. становништву (%) у односу на општине из окружења и републички и покрајински просек-2019.година</w:t>
      </w:r>
    </w:p>
    <w:p>
      <w:pPr>
        <w:pStyle w:val="ListParagraph"/>
        <w:spacing w:lineRule="auto" w:line="240"/>
        <w:jc w:val="center"/>
        <w:rPr>
          <w:rStyle w:val="Markedcontent"/>
          <w:rFonts w:ascii="Times New Roman" w:hAnsi="Times New Roman"/>
          <w:b/>
          <w:b/>
          <w:sz w:val="24"/>
          <w:szCs w:val="24"/>
          <w:lang w:val="sr-RS"/>
        </w:rPr>
      </w:pPr>
      <w:r>
        <w:rPr/>
        <w:drawing>
          <wp:inline distT="0" distB="0" distL="0" distR="0">
            <wp:extent cx="4713605" cy="252031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spacing w:lineRule="auto" w:line="240"/>
        <w:ind w:left="1095" w:hanging="0"/>
        <w:rPr>
          <w:rStyle w:val="Markedcontent"/>
          <w:rFonts w:ascii="Times New Roman" w:hAnsi="Times New Roman"/>
          <w:b/>
          <w:b/>
          <w:sz w:val="24"/>
          <w:szCs w:val="24"/>
          <w:lang w:val="sr-RS"/>
        </w:rPr>
      </w:pPr>
      <w:r>
        <w:rPr>
          <w:rFonts w:ascii="Times New Roman" w:hAnsi="Times New Roman"/>
          <w:b/>
          <w:sz w:val="24"/>
          <w:szCs w:val="24"/>
          <w:lang w:val="sr-RS"/>
        </w:rPr>
      </w:r>
    </w:p>
    <w:p>
      <w:pPr>
        <w:pStyle w:val="ListParagraph"/>
        <w:numPr>
          <w:ilvl w:val="0"/>
          <w:numId w:val="0"/>
        </w:numPr>
        <w:spacing w:lineRule="auto" w:line="240" w:before="0" w:after="200"/>
        <w:ind w:left="1440" w:hanging="0"/>
        <w:contextualSpacing/>
        <w:jc w:val="center"/>
        <w:rPr/>
      </w:pPr>
      <w:r>
        <w:rPr/>
      </w:r>
    </w:p>
    <w:sectPr>
      <w:type w:val="nextPage"/>
      <w:pgSz w:w="12240" w:h="15840"/>
      <w:pgMar w:left="720" w:right="835"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95" w:hanging="375"/>
      </w:pPr>
    </w:lvl>
    <w:lvl w:ilvl="2">
      <w:start w:val="1"/>
      <w:numFmt w:val="decimal"/>
      <w:lvlText w:val="%1.%2.%3"/>
      <w:lvlJc w:val="left"/>
      <w:pPr>
        <w:ind w:left="1800" w:hanging="720"/>
      </w:pPr>
    </w:lvl>
    <w:lvl w:ilvl="3">
      <w:start w:val="1"/>
      <w:numFmt w:val="decimal"/>
      <w:lvlText w:val="%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6244"/>
    <w:pPr>
      <w:widowControl/>
      <w:bidi w:val="0"/>
      <w:spacing w:lineRule="auto" w:line="276" w:before="0" w:after="200"/>
      <w:jc w:val="left"/>
    </w:pPr>
    <w:rPr>
      <w:rFonts w:ascii="Calibri" w:hAnsi="Calibri" w:eastAsia="Times New Roman" w:cs="Times New Roman" w:asciiTheme="minorHAnsi" w:hAnsiTheme="minorHAnsi"/>
      <w:color w:val="00000A"/>
      <w:sz w:val="22"/>
      <w:szCs w:val="22"/>
      <w:lang w:val="sr-Latn-C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Markedcontent" w:customStyle="1">
    <w:name w:val="markedcontent"/>
    <w:basedOn w:val="DefaultParagraphFont"/>
    <w:qFormat/>
    <w:rsid w:val="00d0656a"/>
    <w:rPr/>
  </w:style>
  <w:style w:type="character" w:styleId="BalloonTextChar" w:customStyle="1">
    <w:name w:val="Balloon Text Char"/>
    <w:basedOn w:val="DefaultParagraphFont"/>
    <w:link w:val="BalloonText"/>
    <w:uiPriority w:val="99"/>
    <w:semiHidden/>
    <w:qFormat/>
    <w:rsid w:val="009c2850"/>
    <w:rPr>
      <w:rFonts w:ascii="Tahoma" w:hAnsi="Tahoma" w:eastAsia="Times New Roman" w:cs="Tahoma"/>
      <w:sz w:val="16"/>
      <w:szCs w:val="16"/>
      <w:lang w:val="sr-Latn-CS"/>
    </w:rPr>
  </w:style>
  <w:style w:type="character" w:styleId="Footnotereference">
    <w:name w:val="footnote reference"/>
    <w:basedOn w:val="DefaultParagraphFont"/>
    <w:uiPriority w:val="99"/>
    <w:semiHidden/>
    <w:qFormat/>
    <w:rsid w:val="007c5393"/>
    <w:rPr>
      <w:vertAlign w:val="superscript"/>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1">
    <w:name w:val="ListLabel 11"/>
    <w:qFormat/>
    <w:rPr>
      <w:rFonts w:ascii="Cambria" w:hAnsi="Cambria" w:cs="Wingdings"/>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mbria" w:hAnsi="Cambria" w:cs="Wingdings"/>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uiPriority w:val="99"/>
    <w:qFormat/>
    <w:rsid w:val="00703cd9"/>
    <w:pPr>
      <w:widowControl/>
      <w:bidi w:val="0"/>
      <w:spacing w:lineRule="auto" w:line="240"/>
      <w:jc w:val="both"/>
    </w:pPr>
    <w:rPr>
      <w:rFonts w:ascii="Calibri" w:hAnsi="Calibri" w:eastAsia="Times New Roman" w:cs="Times New Roman" w:asciiTheme="minorHAnsi" w:hAnsiTheme="minorHAnsi"/>
      <w:color w:val="00000A"/>
      <w:sz w:val="22"/>
      <w:szCs w:val="22"/>
      <w:lang w:val="en-GB" w:eastAsia="en-US" w:bidi="ar-SA"/>
    </w:rPr>
  </w:style>
  <w:style w:type="paragraph" w:styleId="ListParagraph">
    <w:name w:val="List Paragraph"/>
    <w:basedOn w:val="Normal"/>
    <w:uiPriority w:val="34"/>
    <w:qFormat/>
    <w:rsid w:val="00511147"/>
    <w:pPr>
      <w:spacing w:before="0" w:after="200"/>
      <w:ind w:left="720" w:hanging="0"/>
      <w:contextualSpacing/>
    </w:pPr>
    <w:rPr/>
  </w:style>
  <w:style w:type="paragraph" w:styleId="BalloonText">
    <w:name w:val="Balloon Text"/>
    <w:basedOn w:val="Normal"/>
    <w:link w:val="BalloonTextChar"/>
    <w:uiPriority w:val="99"/>
    <w:semiHidden/>
    <w:unhideWhenUsed/>
    <w:qFormat/>
    <w:rsid w:val="009c2850"/>
    <w:pPr>
      <w:spacing w:lineRule="auto" w:line="240" w:before="0" w:after="0"/>
    </w:pPr>
    <w:rPr>
      <w:rFonts w:ascii="Tahoma" w:hAnsi="Tahoma" w:cs="Tahoma"/>
      <w:sz w:val="16"/>
      <w:szCs w:val="16"/>
    </w:rPr>
  </w:style>
  <w:style w:type="paragraph" w:styleId="TableContents" w:customStyle="1">
    <w:name w:val="Table Contents"/>
    <w:basedOn w:val="Normal"/>
    <w:qFormat/>
    <w:rsid w:val="007c5393"/>
    <w:pPr>
      <w:widowControl w:val="false"/>
      <w:suppressLineNumbers/>
      <w:suppressAutoHyphens w:val="true"/>
      <w:spacing w:lineRule="auto" w:line="240" w:before="0" w:after="0"/>
    </w:pPr>
    <w:rPr>
      <w:rFonts w:ascii="Times New Roman" w:hAnsi="Times New Roman" w:eastAsia="SimSun" w:cs="Mangal"/>
      <w:sz w:val="24"/>
      <w:szCs w:val="24"/>
      <w:lang w:val="en-US" w:eastAsia="hi-IN" w:bidi="hi-IN"/>
    </w:rPr>
  </w:style>
  <w:style w:type="paragraph" w:styleId="Footnote">
    <w:name w:val="Foot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36244"/>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5Dark-Accent31">
    <w:name w:val="Grid Table 5 Dark - Accent 31"/>
    <w:basedOn w:val="TableNormal"/>
    <w:uiPriority w:val="50"/>
    <w:rsid w:val="007c5393"/>
    <w:pPr>
      <w:spacing w:line="240" w:lineRule="auto"/>
    </w:pPr>
    <w:rPr>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chart" Target="charts/chart6.xml"/><Relationship Id="rId9" Type="http://schemas.openxmlformats.org/officeDocument/2006/relationships/chart" Target="charts/chart7.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11.xlsx"/>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12.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_Worksheet15.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i="1" sz="900" spc="-1" strike="noStrike">
                <a:solidFill>
                  <a:srgbClr val="000000"/>
                </a:solidFill>
                <a:uFill>
                  <a:solidFill>
                    <a:srgbClr val="ffffff"/>
                  </a:solidFill>
                </a:uFill>
                <a:latin typeface="Calibri Light"/>
                <a:ea typeface="Cambria Math"/>
              </a:defRPr>
            </a:pPr>
            <a:r>
              <a:rPr b="0" i="1" sz="900" spc="-1" strike="noStrike">
                <a:solidFill>
                  <a:srgbClr val="000000"/>
                </a:solidFill>
                <a:uFill>
                  <a:solidFill>
                    <a:srgbClr val="ffffff"/>
                  </a:solidFill>
                </a:uFill>
                <a:latin typeface="Calibri Light"/>
                <a:ea typeface="Cambria Math"/>
              </a:rPr>
              <a:t>Procenjen broj stanovnika opštine Senta2013.-2019. godina</a:t>
            </a:r>
          </a:p>
        </c:rich>
      </c:tx>
      <c:overlay val="0"/>
    </c:title>
    <c:autoTitleDeleted val="0"/>
    <c:plotArea>
      <c:lineChart>
        <c:grouping val="standard"/>
        <c:ser>
          <c:idx val="0"/>
          <c:order val="0"/>
          <c:tx>
            <c:strRef>
              <c:f>label 0</c:f>
              <c:strCache>
                <c:ptCount val="1"/>
                <c:pt idx="0">
                  <c:v>Процењен број становника</c:v>
                </c:pt>
              </c:strCache>
            </c:strRef>
          </c:tx>
          <c:spPr>
            <a:solidFill>
              <a:srgbClr val="ed7d31"/>
            </a:solidFill>
            <a:ln w="25560">
              <a:solidFill>
                <a:srgbClr val="ed7d31"/>
              </a:solidFill>
              <a:round/>
            </a:ln>
          </c:spPr>
          <c:marker>
            <c:symbol val="square"/>
            <c:size val="5"/>
            <c:spPr>
              <a:solidFill>
                <a:srgbClr val="ed7d31"/>
              </a:solidFill>
            </c:spPr>
          </c:marker>
          <c:dLbls>
            <c:dLbl>
              <c:idx val="0"/>
              <c:spPr>
                <a:ln w="12600">
                  <a:solidFill>
                    <a:srgbClr val="ED7D31"/>
                  </a:solidFill>
                </a:ln>
              </c:spPr>
              <c:dLblPos val="b"/>
              <c:showLegendKey val="0"/>
              <c:showVal val="1"/>
              <c:showCatName val="0"/>
              <c:showSerName val="0"/>
              <c:showPercent val="0"/>
            </c:dLbl>
            <c:dLbl>
              <c:idx val="1"/>
              <c:spPr>
                <a:ln w="12600">
                  <a:solidFill>
                    <a:srgbClr val="ED7D31"/>
                  </a:solidFill>
                </a:ln>
              </c:spPr>
              <c:dLblPos val="b"/>
              <c:showLegendKey val="0"/>
              <c:showVal val="1"/>
              <c:showCatName val="0"/>
              <c:showSerName val="0"/>
              <c:showPercent val="0"/>
            </c:dLbl>
            <c:dLbl>
              <c:idx val="2"/>
              <c:spPr>
                <a:ln w="12600">
                  <a:solidFill>
                    <a:srgbClr val="ED7D31"/>
                  </a:solidFill>
                </a:ln>
              </c:spPr>
              <c:dLblPos val="b"/>
              <c:showLegendKey val="0"/>
              <c:showVal val="1"/>
              <c:showCatName val="0"/>
              <c:showSerName val="0"/>
              <c:showPercent val="0"/>
            </c:dLbl>
            <c:dLbl>
              <c:idx val="3"/>
              <c:spPr>
                <a:ln w="12600">
                  <a:solidFill>
                    <a:srgbClr val="ED7D31"/>
                  </a:solidFill>
                </a:ln>
              </c:spPr>
              <c:dLblPos val="b"/>
              <c:showLegendKey val="0"/>
              <c:showVal val="1"/>
              <c:showCatName val="0"/>
              <c:showSerName val="0"/>
              <c:showPercent val="0"/>
            </c:dLbl>
            <c:dLbl>
              <c:idx val="4"/>
              <c:spPr>
                <a:ln w="12600">
                  <a:solidFill>
                    <a:srgbClr val="ED7D31"/>
                  </a:solidFill>
                </a:ln>
              </c:spPr>
              <c:dLblPos val="b"/>
              <c:showLegendKey val="0"/>
              <c:showVal val="1"/>
              <c:showCatName val="0"/>
              <c:showSerName val="0"/>
              <c:showPercent val="0"/>
            </c:dLbl>
            <c:dLbl>
              <c:idx val="5"/>
              <c:spPr>
                <a:ln w="12600">
                  <a:solidFill>
                    <a:srgbClr val="ED7D31"/>
                  </a:solidFill>
                </a:ln>
              </c:spPr>
              <c:dLblPos val="b"/>
              <c:showLegendKey val="0"/>
              <c:showVal val="1"/>
              <c:showCatName val="0"/>
              <c:showSerName val="0"/>
              <c:showPercent val="0"/>
            </c:dLbl>
            <c:dLbl>
              <c:idx val="6"/>
              <c:spPr>
                <a:ln w="12600">
                  <a:solidFill>
                    <a:srgbClr val="ED7D31"/>
                  </a:solidFill>
                </a:ln>
              </c:spPr>
              <c:dLblPos val="b"/>
              <c:showLegendKey val="0"/>
              <c:showVal val="1"/>
              <c:showCatName val="0"/>
              <c:showSerName val="0"/>
              <c:showPercent val="0"/>
            </c:dLbl>
            <c:spPr>
              <a:ln w="12600">
                <a:solidFill>
                  <a:srgbClr val="ED7D31"/>
                </a:solidFill>
              </a:ln>
            </c:spPr>
            <c:dLblPos val="b"/>
            <c:showLegendKey val="0"/>
            <c:showVal val="1"/>
            <c:showCatName val="0"/>
            <c:showSerName val="0"/>
            <c:showPercent val="0"/>
            <c:showLeaderLines val="0"/>
          </c:dLbls>
          <c:cat>
            <c:strRef>
              <c:f>categories</c:f>
              <c:strCache>
                <c:ptCount val="7"/>
                <c:pt idx="0">
                  <c:v>2013</c:v>
                </c:pt>
                <c:pt idx="1">
                  <c:v>2014</c:v>
                </c:pt>
                <c:pt idx="2">
                  <c:v>2015</c:v>
                </c:pt>
                <c:pt idx="3">
                  <c:v>2016</c:v>
                </c:pt>
                <c:pt idx="4">
                  <c:v>2017</c:v>
                </c:pt>
                <c:pt idx="5">
                  <c:v>2018</c:v>
                </c:pt>
                <c:pt idx="6">
                  <c:v>2019</c:v>
                </c:pt>
              </c:strCache>
            </c:strRef>
          </c:cat>
          <c:val>
            <c:numRef>
              <c:f>0</c:f>
              <c:numCache>
                <c:formatCode>General</c:formatCode>
                <c:ptCount val="7"/>
                <c:pt idx="0">
                  <c:v>22933</c:v>
                </c:pt>
                <c:pt idx="1">
                  <c:v>22705</c:v>
                </c:pt>
                <c:pt idx="2">
                  <c:v>22490</c:v>
                </c:pt>
                <c:pt idx="3">
                  <c:v>22302</c:v>
                </c:pt>
                <c:pt idx="4">
                  <c:v>22100</c:v>
                </c:pt>
                <c:pt idx="5">
                  <c:v>21876</c:v>
                </c:pt>
                <c:pt idx="6">
                  <c:v>21630</c:v>
                </c:pt>
              </c:numCache>
            </c:numRef>
          </c:val>
          <c:smooth val="0"/>
        </c:ser>
        <c:hiLowLines>
          <c:spPr>
            <a:ln>
              <a:noFill/>
            </a:ln>
          </c:spPr>
        </c:hiLowLines>
        <c:marker val="1"/>
        <c:axId val="46124304"/>
        <c:axId val="74765271"/>
      </c:lineChart>
      <c:catAx>
        <c:axId val="46124304"/>
        <c:scaling>
          <c:orientation val="minMax"/>
        </c:scaling>
        <c:delete val="0"/>
        <c:axPos val="b"/>
        <c:numFmt formatCode="MM/DD/YYYY" sourceLinked="1"/>
        <c:majorTickMark val="out"/>
        <c:minorTickMark val="none"/>
        <c:tickLblPos val="nextTo"/>
        <c:spPr>
          <a:ln w="3240">
            <a:solidFill>
              <a:srgbClr val="000000"/>
            </a:solidFill>
            <a:round/>
          </a:ln>
        </c:spPr>
        <c:txPr>
          <a:bodyPr/>
          <a:p>
            <a:pPr>
              <a:defRPr b="1" sz="900" spc="-1" strike="noStrike">
                <a:solidFill>
                  <a:srgbClr val="000000"/>
                </a:solidFill>
                <a:uFill>
                  <a:solidFill>
                    <a:srgbClr val="ffffff"/>
                  </a:solidFill>
                </a:uFill>
                <a:latin typeface="Cambria"/>
                <a:ea typeface="Cambria"/>
              </a:defRPr>
            </a:pPr>
          </a:p>
        </c:txPr>
        <c:crossAx val="74765271"/>
        <c:crosses val="autoZero"/>
        <c:auto val="1"/>
        <c:lblAlgn val="ctr"/>
        <c:lblOffset val="100"/>
      </c:catAx>
      <c:valAx>
        <c:axId val="74765271"/>
        <c:scaling>
          <c:orientation val="minMax"/>
          <c:max val="24000"/>
          <c:min val="20000"/>
        </c:scaling>
        <c:delete val="0"/>
        <c:axPos val="l"/>
        <c:majorGridlines>
          <c:spPr>
            <a:ln w="6480">
              <a:solidFill>
                <a:srgbClr val="000000"/>
              </a:solidFill>
              <a:round/>
            </a:ln>
          </c:spPr>
        </c:majorGridlines>
        <c:numFmt formatCode="#,##0" sourceLinked="0"/>
        <c:majorTickMark val="out"/>
        <c:minorTickMark val="none"/>
        <c:tickLblPos val="nextTo"/>
        <c:spPr>
          <a:ln w="3240">
            <a:solidFill>
              <a:srgbClr val="000000"/>
            </a:solidFill>
            <a:round/>
          </a:ln>
        </c:spPr>
        <c:txPr>
          <a:bodyPr/>
          <a:p>
            <a:pPr>
              <a:defRPr b="1" sz="900" spc="-1" strike="noStrike">
                <a:solidFill>
                  <a:srgbClr val="000000"/>
                </a:solidFill>
                <a:uFill>
                  <a:solidFill>
                    <a:srgbClr val="ffffff"/>
                  </a:solidFill>
                </a:uFill>
                <a:latin typeface="Cambria"/>
                <a:ea typeface="Cambria"/>
              </a:defRPr>
            </a:pPr>
          </a:p>
        </c:txPr>
        <c:crossAx val="46124304"/>
        <c:crosses val="autoZero"/>
        <c:crossBetween val="midCat"/>
        <c:majorUnit val="1000"/>
      </c:valAx>
      <c:spPr>
        <a:solidFill>
          <a:srgbClr val="ffffff"/>
        </a:solidFill>
        <a:ln w="25560">
          <a:noFill/>
        </a:ln>
      </c:spPr>
    </c:plotArea>
    <c:plotVisOnly val="1"/>
    <c:dispBlanksAs val="gap"/>
  </c:chart>
  <c:spPr>
    <a:solidFill>
      <a:srgbClr val="ffffff"/>
    </a:solidFill>
    <a:ln>
      <a:solidFill>
        <a:srgbClr val="ffffff"/>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i="1" sz="1000" spc="-1" strike="noStrike">
                <a:solidFill>
                  <a:srgbClr val="000000"/>
                </a:solidFill>
                <a:uFill>
                  <a:solidFill>
                    <a:srgbClr val="ffffff"/>
                  </a:solidFill>
                </a:uFill>
                <a:latin typeface="Cambria"/>
                <a:ea typeface="Cambria"/>
              </a:defRPr>
            </a:pPr>
            <a:r>
              <a:rPr b="0" i="1" sz="1000" spc="-1" strike="noStrike">
                <a:solidFill>
                  <a:srgbClr val="000000"/>
                </a:solidFill>
                <a:uFill>
                  <a:solidFill>
                    <a:srgbClr val="ffffff"/>
                  </a:solidFill>
                </a:uFill>
                <a:latin typeface="Cambria"/>
                <a:ea typeface="Cambria"/>
              </a:rPr>
              <a:t>Nacionalna struktura stanovništva opštine Senta- Popis 2011. godine</a:t>
            </a:r>
          </a:p>
        </c:rich>
      </c:tx>
      <c:overlay val="0"/>
    </c:title>
    <c:autoTitleDeleted val="0"/>
    <c:view3D>
      <c:rotX val="15"/>
      <c:rotY val="0"/>
      <c:rAngAx val="0"/>
      <c:perspective val="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Nacionalna struktura</c:v>
                </c:pt>
              </c:strCache>
            </c:strRef>
          </c:tx>
          <c:spPr>
            <a:solidFill>
              <a:srgbClr val="5b9bd5"/>
            </a:solidFill>
            <a:ln>
              <a:noFill/>
            </a:ln>
          </c:spPr>
          <c:explosion val="0"/>
          <c:dPt>
            <c:idx val="0"/>
            <c:spPr>
              <a:solidFill>
                <a:srgbClr val="92d050"/>
              </a:solidFill>
              <a:ln>
                <a:noFill/>
              </a:ln>
            </c:spPr>
          </c:dPt>
          <c:dPt>
            <c:idx val="1"/>
            <c:spPr>
              <a:solidFill>
                <a:srgbClr val="8497b0"/>
              </a:solidFill>
              <a:ln>
                <a:noFill/>
              </a:ln>
            </c:spPr>
          </c:dPt>
          <c:dPt>
            <c:idx val="2"/>
            <c:spPr>
              <a:solidFill>
                <a:srgbClr val="ffc000"/>
              </a:solidFill>
              <a:ln>
                <a:noFill/>
              </a:ln>
            </c:spPr>
          </c:dPt>
          <c:dPt>
            <c:idx val="3"/>
            <c:spPr>
              <a:solidFill>
                <a:srgbClr val="ed7d31"/>
              </a:solidFill>
              <a:ln>
                <a:noFill/>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4"/>
                <c:pt idx="0">
                  <c:v>Mađari</c:v>
                </c:pt>
                <c:pt idx="1">
                  <c:v>Srbi</c:v>
                </c:pt>
                <c:pt idx="2">
                  <c:v>Romi</c:v>
                </c:pt>
                <c:pt idx="3">
                  <c:v>Ostali</c:v>
                </c:pt>
              </c:strCache>
            </c:strRef>
          </c:cat>
          <c:val>
            <c:numRef>
              <c:f>0</c:f>
              <c:numCache>
                <c:formatCode>General</c:formatCode>
                <c:ptCount val="4"/>
                <c:pt idx="0">
                  <c:v>18444</c:v>
                </c:pt>
                <c:pt idx="1">
                  <c:v>2533</c:v>
                </c:pt>
                <c:pt idx="2">
                  <c:v>595</c:v>
                </c:pt>
                <c:pt idx="3">
                  <c:v>1744</c:v>
                </c:pt>
              </c:numCache>
            </c:numRef>
          </c:val>
        </c:ser>
      </c:pie3DChart>
      <c:spPr>
        <a:solidFill>
          <a:srgbClr val="d9d9d9"/>
        </a:solidFill>
        <a:ln>
          <a:noFill/>
        </a:ln>
      </c:spPr>
    </c:plotArea>
    <c:legend>
      <c:legendPos val="r"/>
      <c:layout>
        <c:manualLayout>
          <c:xMode val="edge"/>
          <c:yMode val="edge"/>
          <c:x val="0.741625"/>
          <c:y val="0.0372222222222222"/>
        </c:manualLayout>
      </c:layout>
      <c:overlay val="0"/>
      <c:spPr>
        <a:solidFill>
          <a:srgbClr val="ffffff"/>
        </a:solidFill>
        <a:ln w="12600">
          <a:noFill/>
        </a:ln>
      </c:spPr>
    </c:legend>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i="1" sz="900" spc="-1" strike="noStrike">
                <a:solidFill>
                  <a:srgbClr val="404040"/>
                </a:solidFill>
                <a:uFill>
                  <a:solidFill>
                    <a:srgbClr val="ffffff"/>
                  </a:solidFill>
                </a:uFill>
                <a:latin typeface="Cambria"/>
                <a:ea typeface="Cambria"/>
              </a:defRPr>
            </a:pPr>
            <a:r>
              <a:rPr b="0" i="1" sz="900" spc="-1" strike="noStrike">
                <a:solidFill>
                  <a:srgbClr val="404040"/>
                </a:solidFill>
                <a:uFill>
                  <a:solidFill>
                    <a:srgbClr val="ffffff"/>
                  </a:solidFill>
                </a:uFill>
                <a:latin typeface="Cambria"/>
                <a:ea typeface="Cambria"/>
              </a:rPr>
              <a:t>Stope nataliteta, mortaliteta i prirodnog priraštaja (promil)- opština Senta2015.-2019. godina</a:t>
            </a:r>
          </a:p>
        </c:rich>
      </c:tx>
      <c:overlay val="0"/>
    </c:title>
    <c:autoTitleDeleted val="0"/>
    <c:plotArea>
      <c:lineChart>
        <c:grouping val="standard"/>
        <c:ser>
          <c:idx val="0"/>
          <c:order val="0"/>
          <c:tx>
            <c:strRef>
              <c:f>label 0</c:f>
              <c:strCache>
                <c:ptCount val="1"/>
                <c:pt idx="0">
                  <c:v>Stopa nataliteta</c:v>
                </c:pt>
              </c:strCache>
            </c:strRef>
          </c:tx>
          <c:spPr>
            <a:solidFill>
              <a:srgbClr val="70ad47"/>
            </a:solidFill>
            <a:ln w="31680">
              <a:solidFill>
                <a:srgbClr val="70ad47"/>
              </a:solidFill>
              <a:round/>
            </a:ln>
          </c:spPr>
          <c:marker>
            <c:symbol val="circle"/>
            <c:size val="17"/>
            <c:spPr>
              <a:solidFill>
                <a:srgbClr val="70ad47"/>
              </a:solidFill>
            </c:spPr>
          </c:marker>
          <c:dLbls>
            <c:dLblPos val="ctr"/>
            <c:showLegendKey val="0"/>
            <c:showVal val="1"/>
            <c:showCatName val="0"/>
            <c:showSerName val="0"/>
            <c:showPercent val="0"/>
            <c:showLeaderLines val="0"/>
          </c:dLbls>
          <c:cat>
            <c:strRef>
              <c:f>categories</c:f>
              <c:strCache>
                <c:ptCount val="5"/>
                <c:pt idx="0">
                  <c:v>2015</c:v>
                </c:pt>
                <c:pt idx="1">
                  <c:v>2016</c:v>
                </c:pt>
                <c:pt idx="2">
                  <c:v>2017</c:v>
                </c:pt>
                <c:pt idx="3">
                  <c:v>2018</c:v>
                </c:pt>
                <c:pt idx="4">
                  <c:v>2019</c:v>
                </c:pt>
              </c:strCache>
            </c:strRef>
          </c:cat>
          <c:val>
            <c:numRef>
              <c:f>0</c:f>
              <c:numCache>
                <c:formatCode>General</c:formatCode>
                <c:ptCount val="5"/>
                <c:pt idx="0">
                  <c:v>9.52</c:v>
                </c:pt>
                <c:pt idx="1">
                  <c:v>8.52</c:v>
                </c:pt>
                <c:pt idx="2">
                  <c:v>9</c:v>
                </c:pt>
                <c:pt idx="3">
                  <c:v>8.23</c:v>
                </c:pt>
                <c:pt idx="4">
                  <c:v>8.69</c:v>
                </c:pt>
              </c:numCache>
            </c:numRef>
          </c:val>
          <c:smooth val="0"/>
        </c:ser>
        <c:ser>
          <c:idx val="1"/>
          <c:order val="1"/>
          <c:tx>
            <c:strRef>
              <c:f>label 1</c:f>
              <c:strCache>
                <c:ptCount val="1"/>
                <c:pt idx="0">
                  <c:v>Stopa prirodnog priraštaja</c:v>
                </c:pt>
              </c:strCache>
            </c:strRef>
          </c:tx>
          <c:spPr>
            <a:solidFill>
              <a:srgbClr val="5b9bd5"/>
            </a:solidFill>
            <a:ln w="31680">
              <a:solidFill>
                <a:srgbClr val="5b9bd5"/>
              </a:solidFill>
              <a:round/>
            </a:ln>
          </c:spPr>
          <c:marker>
            <c:symbol val="circle"/>
            <c:size val="17"/>
            <c:spPr>
              <a:solidFill>
                <a:srgbClr val="5b9bd5"/>
              </a:solidFill>
            </c:spPr>
          </c:marker>
          <c:dLbls>
            <c:dLblPos val="ctr"/>
            <c:showLegendKey val="0"/>
            <c:showVal val="1"/>
            <c:showCatName val="0"/>
            <c:showSerName val="0"/>
            <c:showPercent val="0"/>
            <c:showLeaderLines val="0"/>
          </c:dLbls>
          <c:cat>
            <c:strRef>
              <c:f>categories</c:f>
              <c:strCache>
                <c:ptCount val="5"/>
                <c:pt idx="0">
                  <c:v>2015</c:v>
                </c:pt>
                <c:pt idx="1">
                  <c:v>2016</c:v>
                </c:pt>
                <c:pt idx="2">
                  <c:v>2017</c:v>
                </c:pt>
                <c:pt idx="3">
                  <c:v>2018</c:v>
                </c:pt>
                <c:pt idx="4">
                  <c:v>2019</c:v>
                </c:pt>
              </c:strCache>
            </c:strRef>
          </c:cat>
          <c:val>
            <c:numRef>
              <c:f>1</c:f>
              <c:numCache>
                <c:formatCode>General</c:formatCode>
                <c:ptCount val="5"/>
                <c:pt idx="0">
                  <c:v>-7.83</c:v>
                </c:pt>
                <c:pt idx="1">
                  <c:v>-8.92</c:v>
                </c:pt>
                <c:pt idx="2">
                  <c:v>-7.47</c:v>
                </c:pt>
                <c:pt idx="3">
                  <c:v>-9.6</c:v>
                </c:pt>
                <c:pt idx="4">
                  <c:v>-11.42</c:v>
                </c:pt>
              </c:numCache>
            </c:numRef>
          </c:val>
          <c:smooth val="0"/>
        </c:ser>
        <c:hiLowLines>
          <c:spPr>
            <a:ln>
              <a:noFill/>
            </a:ln>
          </c:spPr>
        </c:hiLowLines>
        <c:marker val="1"/>
        <c:axId val="60969298"/>
        <c:axId val="84015911"/>
      </c:lineChart>
      <c:lineChart>
        <c:grouping val="standard"/>
        <c:ser>
          <c:idx val="2"/>
          <c:order val="2"/>
          <c:tx>
            <c:strRef>
              <c:f>label 2</c:f>
              <c:strCache>
                <c:ptCount val="1"/>
                <c:pt idx="0">
                  <c:v>Stopa mortaliteta</c:v>
                </c:pt>
              </c:strCache>
            </c:strRef>
          </c:tx>
          <c:spPr>
            <a:solidFill>
              <a:srgbClr val="ff0000"/>
            </a:solidFill>
            <a:ln w="31680">
              <a:solidFill>
                <a:srgbClr val="ff0000"/>
              </a:solidFill>
              <a:round/>
            </a:ln>
          </c:spPr>
          <c:marker>
            <c:symbol val="circle"/>
            <c:size val="17"/>
            <c:spPr>
              <a:solidFill>
                <a:srgbClr val="ff0000"/>
              </a:solidFill>
            </c:spPr>
          </c:marker>
          <c:dLbls>
            <c:spPr>
              <a:ln w="6480">
                <a:solidFill>
                  <a:srgbClr val="ED7D31"/>
                </a:solidFill>
              </a:ln>
            </c:spPr>
            <c:dLblPos val="ctr"/>
            <c:showLegendKey val="0"/>
            <c:showVal val="1"/>
            <c:showCatName val="0"/>
            <c:showSerName val="0"/>
            <c:showPercent val="0"/>
            <c:showLeaderLines val="0"/>
          </c:dLbls>
          <c:cat>
            <c:strRef>
              <c:f>categories</c:f>
              <c:strCache>
                <c:ptCount val="5"/>
                <c:pt idx="0">
                  <c:v>2015</c:v>
                </c:pt>
                <c:pt idx="1">
                  <c:v>2016</c:v>
                </c:pt>
                <c:pt idx="2">
                  <c:v>2017</c:v>
                </c:pt>
                <c:pt idx="3">
                  <c:v>2018</c:v>
                </c:pt>
                <c:pt idx="4">
                  <c:v>2019</c:v>
                </c:pt>
              </c:strCache>
            </c:strRef>
          </c:cat>
          <c:val>
            <c:numRef>
              <c:f>2</c:f>
              <c:numCache>
                <c:formatCode>General</c:formatCode>
                <c:ptCount val="5"/>
                <c:pt idx="0">
                  <c:v>17.34</c:v>
                </c:pt>
                <c:pt idx="1">
                  <c:v>17.44</c:v>
                </c:pt>
                <c:pt idx="2">
                  <c:v>16.47</c:v>
                </c:pt>
                <c:pt idx="3">
                  <c:v>17.83</c:v>
                </c:pt>
                <c:pt idx="4">
                  <c:v>20.11</c:v>
                </c:pt>
              </c:numCache>
            </c:numRef>
          </c:val>
          <c:smooth val="0"/>
        </c:ser>
        <c:hiLowLines>
          <c:spPr>
            <a:ln>
              <a:noFill/>
            </a:ln>
          </c:spPr>
        </c:hiLowLines>
        <c:marker val="1"/>
        <c:axId val="15941902"/>
        <c:axId val="21137929"/>
      </c:lineChart>
      <c:catAx>
        <c:axId val="60969298"/>
        <c:scaling>
          <c:orientation val="minMax"/>
        </c:scaling>
        <c:delete val="0"/>
        <c:axPos val="b"/>
        <c:numFmt formatCode="MM/DD/YYYY" sourceLinked="1"/>
        <c:majorTickMark val="none"/>
        <c:minorTickMark val="none"/>
        <c:tickLblPos val="nextTo"/>
        <c:spPr>
          <a:ln w="19080">
            <a:solidFill>
              <a:srgbClr val="404040"/>
            </a:solidFill>
            <a:round/>
          </a:ln>
        </c:spPr>
        <c:txPr>
          <a:bodyPr/>
          <a:p>
            <a:pPr>
              <a:defRPr b="0" sz="900" spc="-1" strike="noStrike">
                <a:solidFill>
                  <a:srgbClr val="404040"/>
                </a:solidFill>
                <a:uFill>
                  <a:solidFill>
                    <a:srgbClr val="ffffff"/>
                  </a:solidFill>
                </a:uFill>
                <a:latin typeface="Calibri"/>
              </a:defRPr>
            </a:pPr>
          </a:p>
        </c:txPr>
        <c:crossAx val="84015911"/>
        <c:crosses val="autoZero"/>
        <c:auto val="1"/>
        <c:lblAlgn val="ctr"/>
        <c:lblOffset val="100"/>
      </c:catAx>
      <c:valAx>
        <c:axId val="84015911"/>
        <c:scaling>
          <c:orientation val="minMax"/>
          <c:max val="20"/>
          <c:min val="-20"/>
        </c:scaling>
        <c:delete val="1"/>
        <c:axPos val="l"/>
        <c:majorGridlines>
          <c:spPr>
            <a:ln w="9360">
              <a:solidFill>
                <a:srgbClr val="bfbfbf"/>
              </a:solidFill>
              <a:round/>
            </a:ln>
          </c:spPr>
        </c:majorGridlines>
        <c:numFmt formatCode="#,##0" sourceLinked="0"/>
        <c:majorTickMark val="none"/>
        <c:minorTickMark val="none"/>
        <c:tickLblPos val="none"/>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60969298"/>
        <c:crosses val="autoZero"/>
        <c:crossBetween val="midCat"/>
        <c:majorUnit val="5"/>
      </c:valAx>
      <c:catAx>
        <c:axId val="15941902"/>
        <c:scaling>
          <c:orientation val="minMax"/>
        </c:scaling>
        <c:delete val="1"/>
        <c:axPos val="t"/>
        <c:numFmt formatCode="MM/DD/YYYY" sourceLinked="1"/>
        <c:majorTickMark val="out"/>
        <c:minorTickMark val="none"/>
        <c:tickLblPos val="none"/>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21137929"/>
        <c:crosses val="autoZero"/>
        <c:auto val="1"/>
        <c:lblAlgn val="ctr"/>
        <c:lblOffset val="100"/>
      </c:catAx>
      <c:valAx>
        <c:axId val="21137929"/>
        <c:scaling>
          <c:orientation val="minMax"/>
          <c:max val="25"/>
          <c:min val="-15"/>
        </c:scaling>
        <c:delete val="0"/>
        <c:axPos val="r"/>
        <c:numFmt formatCode="General" sourceLinked="0"/>
        <c:majorTickMark val="out"/>
        <c:minorTickMark val="none"/>
        <c:tickLblPos val="nextTo"/>
        <c:spPr>
          <a:ln w="6480">
            <a:noFill/>
          </a:ln>
        </c:spPr>
        <c:txPr>
          <a:bodyPr/>
          <a:p>
            <a:pPr>
              <a:defRPr b="0" sz="900" spc="-1" strike="noStrike">
                <a:solidFill>
                  <a:srgbClr val="404040"/>
                </a:solidFill>
                <a:uFill>
                  <a:solidFill>
                    <a:srgbClr val="ffffff"/>
                  </a:solidFill>
                </a:uFill>
                <a:latin typeface="Cambria"/>
                <a:ea typeface="Cambria"/>
              </a:defRPr>
            </a:pPr>
          </a:p>
        </c:txPr>
        <c:crossAx val="15941902"/>
        <c:crosses val="max"/>
        <c:crossBetween val="midCat"/>
      </c:valAx>
      <c:spPr>
        <a:noFill/>
        <a:ln>
          <a:noFill/>
        </a:ln>
      </c:spPr>
    </c:plotArea>
    <c:legend>
      <c:legendPos val="b"/>
      <c:overlay val="0"/>
      <c:spPr>
        <a:solidFill>
          <a:srgbClr val="f2f2f2">
            <a:alpha val="39000"/>
          </a:srgbClr>
        </a:solidFill>
        <a:ln>
          <a:noFill/>
        </a:ln>
      </c:spPr>
    </c:legend>
    <c:plotVisOnly val="1"/>
    <c:dispBlanksAs val="gap"/>
  </c:chart>
  <c:spPr>
    <a:noFill/>
    <a:ln w="936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Bačka Topola</c:v>
                </c:pt>
              </c:strCache>
            </c:strRef>
          </c:tx>
          <c:spPr>
            <a:solidFill>
              <a:srgbClr val="ed7d31"/>
            </a:solidFill>
            <a:ln>
              <a:noFill/>
            </a:ln>
          </c:spPr>
          <c:invertIfNegative val="0"/>
          <c:dLbls>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0</c:f>
              <c:numCache>
                <c:formatCode>General</c:formatCode>
                <c:ptCount val="3"/>
                <c:pt idx="0">
                  <c:v>16.7</c:v>
                </c:pt>
                <c:pt idx="1">
                  <c:v>86.2</c:v>
                </c:pt>
                <c:pt idx="2">
                  <c:v>61.5</c:v>
                </c:pt>
              </c:numCache>
            </c:numRef>
          </c:val>
        </c:ser>
        <c:ser>
          <c:idx val="1"/>
          <c:order val="1"/>
          <c:tx>
            <c:strRef>
              <c:f>label 1</c:f>
              <c:strCache>
                <c:ptCount val="1"/>
                <c:pt idx="0">
                  <c:v>Bečej</c:v>
                </c:pt>
              </c:strCache>
            </c:strRef>
          </c:tx>
          <c:spPr>
            <a:solidFill>
              <a:srgbClr val="ffc000"/>
            </a:solidFill>
            <a:ln>
              <a:noFill/>
            </a:ln>
          </c:spPr>
          <c:invertIfNegative val="0"/>
          <c:dLbls>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1</c:f>
              <c:numCache>
                <c:formatCode>General</c:formatCode>
                <c:ptCount val="3"/>
                <c:pt idx="0">
                  <c:v>21.3</c:v>
                </c:pt>
                <c:pt idx="1">
                  <c:v>65.9</c:v>
                </c:pt>
                <c:pt idx="2">
                  <c:v>89.9</c:v>
                </c:pt>
              </c:numCache>
            </c:numRef>
          </c:val>
        </c:ser>
        <c:ser>
          <c:idx val="2"/>
          <c:order val="2"/>
          <c:tx>
            <c:strRef>
              <c:f>label 2</c:f>
              <c:strCache>
                <c:ptCount val="1"/>
                <c:pt idx="0">
                  <c:v>Kanjiža</c:v>
                </c:pt>
              </c:strCache>
            </c:strRef>
          </c:tx>
          <c:spPr>
            <a:solidFill>
              <a:srgbClr val="4472c4"/>
            </a:solidFill>
            <a:ln>
              <a:noFill/>
            </a:ln>
          </c:spPr>
          <c:invertIfNegative val="0"/>
          <c:dLbls>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2</c:f>
              <c:numCache>
                <c:formatCode>General</c:formatCode>
                <c:ptCount val="3"/>
                <c:pt idx="0">
                  <c:v>13.4</c:v>
                </c:pt>
                <c:pt idx="1">
                  <c:v>64.6</c:v>
                </c:pt>
                <c:pt idx="2">
                  <c:v>98.4</c:v>
                </c:pt>
              </c:numCache>
            </c:numRef>
          </c:val>
        </c:ser>
        <c:ser>
          <c:idx val="3"/>
          <c:order val="3"/>
          <c:tx>
            <c:strRef>
              <c:f>label 3</c:f>
              <c:strCache>
                <c:ptCount val="1"/>
                <c:pt idx="0">
                  <c:v>Senta</c:v>
                </c:pt>
              </c:strCache>
            </c:strRef>
          </c:tx>
          <c:spPr>
            <a:solidFill>
              <a:srgbClr val="70ad47"/>
            </a:solidFill>
            <a:ln>
              <a:noFill/>
            </a:ln>
          </c:spPr>
          <c:invertIfNegative val="0"/>
          <c:dLbls>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3</c:f>
              <c:numCache>
                <c:formatCode>General</c:formatCode>
                <c:ptCount val="3"/>
                <c:pt idx="0">
                  <c:v>18</c:v>
                </c:pt>
                <c:pt idx="1">
                  <c:v>71</c:v>
                </c:pt>
                <c:pt idx="2">
                  <c:v>81.4</c:v>
                </c:pt>
              </c:numCache>
            </c:numRef>
          </c:val>
        </c:ser>
        <c:ser>
          <c:idx val="4"/>
          <c:order val="4"/>
          <c:tx>
            <c:strRef>
              <c:f>label 4</c:f>
              <c:strCache>
                <c:ptCount val="1"/>
                <c:pt idx="0">
                  <c:v>RS</c:v>
                </c:pt>
              </c:strCache>
            </c:strRef>
          </c:tx>
          <c:spPr>
            <a:solidFill>
              <a:srgbClr val="44546a">
                <a:alpha val="75000"/>
              </a:srgbClr>
            </a:solidFill>
            <a:ln>
              <a:noFill/>
            </a:ln>
          </c:spPr>
          <c:invertIfNegative val="0"/>
          <c:dLbls>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4</c:f>
              <c:numCache>
                <c:formatCode>General</c:formatCode>
                <c:ptCount val="3"/>
                <c:pt idx="0">
                  <c:v>28.1</c:v>
                </c:pt>
                <c:pt idx="1">
                  <c:v>66.4</c:v>
                </c:pt>
                <c:pt idx="2">
                  <c:v>97.4</c:v>
                </c:pt>
              </c:numCache>
            </c:numRef>
          </c:val>
        </c:ser>
        <c:ser>
          <c:idx val="5"/>
          <c:order val="5"/>
          <c:tx>
            <c:strRef>
              <c:f>label 5</c:f>
              <c:strCache>
                <c:ptCount val="1"/>
                <c:pt idx="0">
                  <c:v>APV</c:v>
                </c:pt>
              </c:strCache>
            </c:strRef>
          </c:tx>
          <c:spPr>
            <a:solidFill>
              <a:srgbClr val="ff7c5d"/>
            </a:solidFill>
            <a:ln>
              <a:noFill/>
            </a:ln>
          </c:spPr>
          <c:invertIfNegative val="0"/>
          <c:dLbls>
            <c:dLbl>
              <c:idx val="0"/>
              <c:dLblPos val="outEnd"/>
              <c:showLegendKey val="0"/>
              <c:showVal val="1"/>
              <c:showCatName val="0"/>
              <c:showSerName val="0"/>
              <c:showPercent val="0"/>
            </c:dLbl>
            <c:dLbl>
              <c:idx val="1"/>
              <c:dLblPos val="outEnd"/>
              <c:showLegendKey val="0"/>
              <c:showVal val="1"/>
              <c:showCatName val="0"/>
              <c:showSerName val="0"/>
              <c:showPercent val="0"/>
            </c:dLbl>
            <c:dLbl>
              <c:idx val="2"/>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3"/>
                <c:pt idx="0">
                  <c:v>Deca_0─3 god. </c:v>
                </c:pt>
                <c:pt idx="1">
                  <c:v>Deca od 3 god.-PPP </c:v>
                </c:pt>
                <c:pt idx="2">
                  <c:v>Deca_PPP</c:v>
                </c:pt>
              </c:strCache>
            </c:strRef>
          </c:cat>
          <c:val>
            <c:numRef>
              <c:f>5</c:f>
              <c:numCache>
                <c:formatCode>General</c:formatCode>
                <c:ptCount val="3"/>
                <c:pt idx="0">
                  <c:v>27.6</c:v>
                </c:pt>
                <c:pt idx="1">
                  <c:v>71.6</c:v>
                </c:pt>
                <c:pt idx="2">
                  <c:v>100.6</c:v>
                </c:pt>
              </c:numCache>
            </c:numRef>
          </c:val>
        </c:ser>
        <c:gapWidth val="150"/>
        <c:overlap val="0"/>
        <c:axId val="4258996"/>
        <c:axId val="91173452"/>
      </c:barChart>
      <c:catAx>
        <c:axId val="4258996"/>
        <c:scaling>
          <c:orientation val="minMax"/>
        </c:scaling>
        <c:delete val="0"/>
        <c:axPos val="b"/>
        <c:numFmt formatCode="MM/DD/YYYY" sourceLinked="1"/>
        <c:majorTickMark val="none"/>
        <c:minorTickMark val="none"/>
        <c:tickLblPos val="nextTo"/>
        <c:spPr>
          <a:ln w="6480">
            <a:noFill/>
          </a:ln>
        </c:spPr>
        <c:txPr>
          <a:bodyPr/>
          <a:p>
            <a:pPr>
              <a:defRPr b="0" sz="700" spc="-1" strike="noStrike">
                <a:solidFill>
                  <a:srgbClr val="000000"/>
                </a:solidFill>
                <a:uFill>
                  <a:solidFill>
                    <a:srgbClr val="ffffff"/>
                  </a:solidFill>
                </a:uFill>
                <a:latin typeface="Cambria"/>
                <a:ea typeface="Cambria"/>
              </a:defRPr>
            </a:pPr>
          </a:p>
        </c:txPr>
        <c:crossAx val="91173452"/>
        <c:crosses val="autoZero"/>
        <c:auto val="1"/>
        <c:lblAlgn val="ctr"/>
        <c:lblOffset val="100"/>
      </c:catAx>
      <c:valAx>
        <c:axId val="91173452"/>
        <c:scaling>
          <c:orientation val="minMax"/>
          <c:max val="120"/>
          <c:min val="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p>
            <a:pPr>
              <a:defRPr b="0" sz="900" spc="-1" strike="noStrike">
                <a:solidFill>
                  <a:srgbClr val="595959"/>
                </a:solidFill>
                <a:uFill>
                  <a:solidFill>
                    <a:srgbClr val="ffffff"/>
                  </a:solidFill>
                </a:uFill>
                <a:latin typeface="Calibri"/>
              </a:defRPr>
            </a:pPr>
          </a:p>
        </c:txPr>
        <c:crossAx val="4258996"/>
        <c:crosses val="autoZero"/>
        <c:crossBetween val="midCat"/>
        <c:majorUnit val="30"/>
      </c:valAx>
      <c:spPr>
        <a:noFill/>
        <a:ln>
          <a:noFill/>
        </a:ln>
      </c:spPr>
    </c:plotArea>
    <c:legend>
      <c:legendPos val="r"/>
      <c:layout>
        <c:manualLayout>
          <c:xMode val="edge"/>
          <c:yMode val="edge"/>
          <c:x val="0.80425"/>
          <c:y val="0.353888888888889"/>
        </c:manualLayout>
      </c:layout>
      <c:overlay val="0"/>
      <c:spPr>
        <a:noFill/>
        <a:ln>
          <a:noFill/>
        </a:ln>
      </c:spPr>
    </c:legend>
    <c:plotVisOnly val="1"/>
    <c:dispBlanksAs val="gap"/>
  </c:chart>
  <c:spPr>
    <a:noFill/>
    <a:ln w="936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zdravstvena zaštita dece</c:v>
                </c:pt>
              </c:strCache>
            </c:strRef>
          </c:tx>
          <c:spPr>
            <a:solidFill>
              <a:srgbClr val="92d050"/>
            </a:solidFill>
            <a:ln w="9360">
              <a:noFill/>
            </a:ln>
          </c:spPr>
          <c:invertIfNegative val="0"/>
          <c:dLbls>
            <c:spPr>
              <a:ln w="12600">
                <a:solidFill>
                  <a:srgbClr val="70AD47"/>
                </a:solidFill>
              </a:ln>
            </c:spPr>
            <c:dLblPos val="outEnd"/>
            <c:showLegendKey val="0"/>
            <c:showVal val="1"/>
            <c:showCatName val="0"/>
            <c:showSerName val="0"/>
            <c:showPercent val="0"/>
            <c:showLeaderLines val="0"/>
          </c:dLbls>
          <c:cat>
            <c:strRef>
              <c:f>categories</c:f>
              <c:strCache>
                <c:ptCount val="6"/>
                <c:pt idx="0">
                  <c:v>Senta</c:v>
                </c:pt>
                <c:pt idx="1">
                  <c:v>RS</c:v>
                </c:pt>
                <c:pt idx="2">
                  <c:v>APV</c:v>
                </c:pt>
                <c:pt idx="3">
                  <c:v>Kanjiža</c:v>
                </c:pt>
                <c:pt idx="4">
                  <c:v>Bačka Topola</c:v>
                </c:pt>
                <c:pt idx="5">
                  <c:v>Bečej</c:v>
                </c:pt>
              </c:strCache>
            </c:strRef>
          </c:cat>
          <c:val>
            <c:numRef>
              <c:f>0</c:f>
              <c:numCache>
                <c:formatCode>General</c:formatCode>
                <c:ptCount val="6"/>
                <c:pt idx="0">
                  <c:v>1.5</c:v>
                </c:pt>
                <c:pt idx="1">
                  <c:v>1.5</c:v>
                </c:pt>
                <c:pt idx="2">
                  <c:v>1.3</c:v>
                </c:pt>
                <c:pt idx="3">
                  <c:v>1.6</c:v>
                </c:pt>
                <c:pt idx="4">
                  <c:v>1.7</c:v>
                </c:pt>
                <c:pt idx="5">
                  <c:v>1.7</c:v>
                </c:pt>
              </c:numCache>
            </c:numRef>
          </c:val>
        </c:ser>
        <c:ser>
          <c:idx val="1"/>
          <c:order val="1"/>
          <c:tx>
            <c:strRef>
              <c:f>label 1</c:f>
              <c:strCache>
                <c:ptCount val="1"/>
                <c:pt idx="0">
                  <c:v>zdravstvena zaštita školske dece i omladine</c:v>
                </c:pt>
              </c:strCache>
            </c:strRef>
          </c:tx>
          <c:spPr>
            <a:solidFill>
              <a:srgbClr val="4472c4"/>
            </a:solidFill>
            <a:ln w="9360">
              <a:noFill/>
            </a:ln>
          </c:spPr>
          <c:invertIfNegative val="0"/>
          <c:dLbls>
            <c:spPr>
              <a:ln w="12600">
                <a:solidFill>
                  <a:srgbClr val="5B9BD5"/>
                </a:solidFill>
              </a:ln>
            </c:spPr>
            <c:dLblPos val="outEnd"/>
            <c:showLegendKey val="0"/>
            <c:showVal val="1"/>
            <c:showCatName val="0"/>
            <c:showSerName val="0"/>
            <c:showPercent val="0"/>
            <c:showLeaderLines val="0"/>
          </c:dLbls>
          <c:cat>
            <c:strRef>
              <c:f>categories</c:f>
              <c:strCache>
                <c:ptCount val="6"/>
                <c:pt idx="0">
                  <c:v>Senta</c:v>
                </c:pt>
                <c:pt idx="1">
                  <c:v>RS</c:v>
                </c:pt>
                <c:pt idx="2">
                  <c:v>APV</c:v>
                </c:pt>
                <c:pt idx="3">
                  <c:v>Kanjiža</c:v>
                </c:pt>
                <c:pt idx="4">
                  <c:v>Bačka Topola</c:v>
                </c:pt>
                <c:pt idx="5">
                  <c:v>Bečej</c:v>
                </c:pt>
              </c:strCache>
            </c:strRef>
          </c:cat>
          <c:val>
            <c:numRef>
              <c:f>1</c:f>
              <c:numCache>
                <c:formatCode>General</c:formatCode>
                <c:ptCount val="6"/>
                <c:pt idx="0">
                  <c:v>0.700000000000001</c:v>
                </c:pt>
                <c:pt idx="1">
                  <c:v>0.700000000000001</c:v>
                </c:pt>
                <c:pt idx="2">
                  <c:v>0.600000000000001</c:v>
                </c:pt>
                <c:pt idx="3">
                  <c:v>0.700000000000001</c:v>
                </c:pt>
                <c:pt idx="4">
                  <c:v>0.600000000000001</c:v>
                </c:pt>
                <c:pt idx="5">
                  <c:v>0.600000000000001</c:v>
                </c:pt>
              </c:numCache>
            </c:numRef>
          </c:val>
        </c:ser>
        <c:gapWidth val="150"/>
        <c:overlap val="0"/>
        <c:axId val="55537520"/>
        <c:axId val="57838338"/>
      </c:barChart>
      <c:catAx>
        <c:axId val="55537520"/>
        <c:scaling>
          <c:orientation val="maxMin"/>
        </c:scaling>
        <c:delete val="0"/>
        <c:axPos val="b"/>
        <c:numFmt formatCode="MM/DD/YYYY" sourceLinked="1"/>
        <c:majorTickMark val="none"/>
        <c:minorTickMark val="none"/>
        <c:tickLblPos val="nextTo"/>
        <c:spPr>
          <a:ln w="9360">
            <a:solidFill>
              <a:srgbClr val="d9d9d9"/>
            </a:solidFill>
            <a:round/>
          </a:ln>
        </c:spPr>
        <c:txPr>
          <a:bodyPr/>
          <a:p>
            <a:pPr>
              <a:defRPr b="1" i="1" sz="800" spc="-1" strike="noStrike">
                <a:solidFill>
                  <a:srgbClr val="000000"/>
                </a:solidFill>
                <a:uFill>
                  <a:solidFill>
                    <a:srgbClr val="ffffff"/>
                  </a:solidFill>
                </a:uFill>
                <a:latin typeface="Cambria"/>
                <a:ea typeface="Cambria"/>
              </a:defRPr>
            </a:pPr>
          </a:p>
        </c:txPr>
        <c:crossAx val="57838338"/>
        <c:crosses val="autoZero"/>
        <c:auto val="1"/>
        <c:lblAlgn val="ctr"/>
        <c:lblOffset val="100"/>
      </c:catAx>
      <c:valAx>
        <c:axId val="57838338"/>
        <c:scaling>
          <c:orientation val="minMax"/>
          <c:max val="2"/>
          <c:min val="0"/>
        </c:scaling>
        <c:delete val="0"/>
        <c:axPos val="l"/>
        <c:majorGridlines>
          <c:spPr>
            <a:ln w="9360">
              <a:solidFill>
                <a:srgbClr val="d9d9d9"/>
              </a:solidFill>
              <a:round/>
            </a:ln>
          </c:spPr>
        </c:majorGridlines>
        <c:numFmt formatCode="#,##0.0" sourceLinked="0"/>
        <c:majorTickMark val="none"/>
        <c:minorTickMark val="none"/>
        <c:tickLblPos val="nextTo"/>
        <c:spPr>
          <a:ln w="6480">
            <a:noFill/>
          </a:ln>
        </c:spPr>
        <c:txPr>
          <a:bodyPr/>
          <a:p>
            <a:pPr>
              <a:defRPr b="1" i="1" sz="900" spc="-1" strike="noStrike">
                <a:solidFill>
                  <a:srgbClr val="000000"/>
                </a:solidFill>
                <a:uFill>
                  <a:solidFill>
                    <a:srgbClr val="ffffff"/>
                  </a:solidFill>
                </a:uFill>
                <a:latin typeface="Cambria"/>
                <a:ea typeface="Cambria"/>
              </a:defRPr>
            </a:pPr>
          </a:p>
        </c:txPr>
        <c:crossAx val="55537520"/>
        <c:crosses val="autoZero"/>
        <c:crossBetween val="midCat"/>
        <c:majorUnit val="1"/>
      </c:valAx>
      <c:spPr>
        <a:solidFill>
          <a:srgbClr val="ffffff"/>
        </a:solidFill>
        <a:ln w="12600">
          <a:noFill/>
        </a:ln>
      </c:spPr>
    </c:plotArea>
    <c:legend>
      <c:legendPos val="r"/>
      <c:layout>
        <c:manualLayout>
          <c:xMode val="edge"/>
          <c:yMode val="edge"/>
          <c:x val="0.6696875"/>
          <c:y val="0.318555555555556"/>
        </c:manualLayout>
      </c:layout>
      <c:overlay val="0"/>
      <c:spPr>
        <a:noFill/>
        <a:ln>
          <a:noFill/>
        </a:ln>
      </c:spPr>
    </c:legend>
    <c:plotVisOnly val="1"/>
    <c:dispBlanksAs val="gap"/>
  </c:chart>
  <c:spPr>
    <a:solidFill>
      <a:srgbClr val="ffffff"/>
    </a:solidFill>
    <a:ln w="9360">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zdravstvena zaštita odraslog stanovništva </c:v>
                </c:pt>
              </c:strCache>
            </c:strRef>
          </c:tx>
          <c:spPr>
            <a:solidFill>
              <a:srgbClr val="ed7d31"/>
            </a:solidFill>
            <a:ln w="9360">
              <a:noFill/>
            </a:ln>
          </c:spPr>
          <c:invertIfNegative val="0"/>
          <c:dLbls>
            <c:spPr>
              <a:ln w="12600">
                <a:solidFill>
                  <a:srgbClr val="ED7D31"/>
                </a:solidFill>
              </a:ln>
            </c:spPr>
            <c:dLblPos val="outEnd"/>
            <c:showLegendKey val="0"/>
            <c:showVal val="1"/>
            <c:showCatName val="0"/>
            <c:showSerName val="0"/>
            <c:showPercent val="0"/>
            <c:showLeaderLines val="0"/>
          </c:dLbls>
          <c:cat>
            <c:strRef>
              <c:f>categories</c:f>
              <c:strCache>
                <c:ptCount val="6"/>
                <c:pt idx="0">
                  <c:v>Senta</c:v>
                </c:pt>
                <c:pt idx="1">
                  <c:v>RS</c:v>
                </c:pt>
                <c:pt idx="2">
                  <c:v>APV</c:v>
                </c:pt>
                <c:pt idx="3">
                  <c:v>Kanjiža</c:v>
                </c:pt>
                <c:pt idx="4">
                  <c:v>Bačka Topola</c:v>
                </c:pt>
                <c:pt idx="5">
                  <c:v>Bečej</c:v>
                </c:pt>
              </c:strCache>
            </c:strRef>
          </c:cat>
          <c:val>
            <c:numRef>
              <c:f>0</c:f>
              <c:numCache>
                <c:formatCode>General</c:formatCode>
                <c:ptCount val="6"/>
                <c:pt idx="0">
                  <c:v>0.600000000000001</c:v>
                </c:pt>
                <c:pt idx="1">
                  <c:v>0.600000000000001</c:v>
                </c:pt>
                <c:pt idx="2">
                  <c:v>0.600000000000001</c:v>
                </c:pt>
                <c:pt idx="3">
                  <c:v>0.5</c:v>
                </c:pt>
                <c:pt idx="4">
                  <c:v>0.5</c:v>
                </c:pt>
                <c:pt idx="5">
                  <c:v>0.5</c:v>
                </c:pt>
              </c:numCache>
            </c:numRef>
          </c:val>
        </c:ser>
        <c:ser>
          <c:idx val="1"/>
          <c:order val="1"/>
          <c:tx>
            <c:strRef>
              <c:f>label 1</c:f>
              <c:strCache>
                <c:ptCount val="1"/>
                <c:pt idx="0">
                  <c:v>zdravstvena zaštita žena </c:v>
                </c:pt>
              </c:strCache>
            </c:strRef>
          </c:tx>
          <c:spPr>
            <a:solidFill>
              <a:srgbClr val="ffc000"/>
            </a:solidFill>
            <a:ln w="9360">
              <a:noFill/>
            </a:ln>
          </c:spPr>
          <c:invertIfNegative val="0"/>
          <c:dLbls>
            <c:spPr>
              <a:ln w="12600">
                <a:solidFill>
                  <a:srgbClr val="FFC000"/>
                </a:solidFill>
              </a:ln>
            </c:spPr>
            <c:dLblPos val="outEnd"/>
            <c:showLegendKey val="0"/>
            <c:showVal val="1"/>
            <c:showCatName val="0"/>
            <c:showSerName val="0"/>
            <c:showPercent val="0"/>
            <c:showLeaderLines val="0"/>
          </c:dLbls>
          <c:cat>
            <c:strRef>
              <c:f>categories</c:f>
              <c:strCache>
                <c:ptCount val="6"/>
                <c:pt idx="0">
                  <c:v>Senta</c:v>
                </c:pt>
                <c:pt idx="1">
                  <c:v>RS</c:v>
                </c:pt>
                <c:pt idx="2">
                  <c:v>APV</c:v>
                </c:pt>
                <c:pt idx="3">
                  <c:v>Kanjiža</c:v>
                </c:pt>
                <c:pt idx="4">
                  <c:v>Bačka Topola</c:v>
                </c:pt>
                <c:pt idx="5">
                  <c:v>Bečej</c:v>
                </c:pt>
              </c:strCache>
            </c:strRef>
          </c:cat>
          <c:val>
            <c:numRef>
              <c:f>1</c:f>
              <c:numCache>
                <c:formatCode>General</c:formatCode>
                <c:ptCount val="6"/>
                <c:pt idx="0">
                  <c:v>0.1</c:v>
                </c:pt>
                <c:pt idx="1">
                  <c:v>0.17</c:v>
                </c:pt>
                <c:pt idx="2">
                  <c:v>0.16</c:v>
                </c:pt>
                <c:pt idx="3">
                  <c:v>0.19</c:v>
                </c:pt>
                <c:pt idx="4">
                  <c:v>0.22</c:v>
                </c:pt>
                <c:pt idx="5">
                  <c:v>0</c:v>
                </c:pt>
              </c:numCache>
            </c:numRef>
          </c:val>
        </c:ser>
        <c:gapWidth val="150"/>
        <c:overlap val="0"/>
        <c:axId val="53295828"/>
        <c:axId val="33660790"/>
      </c:barChart>
      <c:catAx>
        <c:axId val="53295828"/>
        <c:scaling>
          <c:orientation val="maxMin"/>
        </c:scaling>
        <c:delete val="0"/>
        <c:axPos val="b"/>
        <c:numFmt formatCode="MM/DD/YYYY" sourceLinked="1"/>
        <c:majorTickMark val="none"/>
        <c:minorTickMark val="none"/>
        <c:tickLblPos val="nextTo"/>
        <c:spPr>
          <a:ln w="9360">
            <a:solidFill>
              <a:srgbClr val="d9d9d9"/>
            </a:solidFill>
            <a:round/>
          </a:ln>
        </c:spPr>
        <c:txPr>
          <a:bodyPr/>
          <a:p>
            <a:pPr>
              <a:defRPr b="1" i="1" sz="800" spc="-1" strike="noStrike">
                <a:solidFill>
                  <a:srgbClr val="000000"/>
                </a:solidFill>
                <a:uFill>
                  <a:solidFill>
                    <a:srgbClr val="ffffff"/>
                  </a:solidFill>
                </a:uFill>
                <a:latin typeface="Cambria"/>
                <a:ea typeface="Cambria"/>
              </a:defRPr>
            </a:pPr>
          </a:p>
        </c:txPr>
        <c:crossAx val="33660790"/>
        <c:crosses val="autoZero"/>
        <c:auto val="1"/>
        <c:lblAlgn val="ctr"/>
        <c:lblOffset val="100"/>
      </c:catAx>
      <c:valAx>
        <c:axId val="33660790"/>
        <c:scaling>
          <c:orientation val="minMax"/>
          <c:max val="0.8"/>
          <c:min val="0"/>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p>
            <a:pPr>
              <a:defRPr b="1" i="1" sz="900" spc="-1" strike="noStrike">
                <a:solidFill>
                  <a:srgbClr val="000000"/>
                </a:solidFill>
                <a:uFill>
                  <a:solidFill>
                    <a:srgbClr val="ffffff"/>
                  </a:solidFill>
                </a:uFill>
                <a:latin typeface="Cambria"/>
                <a:ea typeface="Cambria"/>
              </a:defRPr>
            </a:pPr>
          </a:p>
        </c:txPr>
        <c:crossAx val="53295828"/>
        <c:crosses val="autoZero"/>
        <c:crossBetween val="midCat"/>
        <c:majorUnit val="0.2"/>
      </c:valAx>
      <c:spPr>
        <a:solidFill>
          <a:srgbClr val="ffffff"/>
        </a:solidFill>
        <a:ln w="12600">
          <a:noFill/>
        </a:ln>
      </c:spPr>
    </c:plotArea>
    <c:legend>
      <c:legendPos val="r"/>
      <c:layout>
        <c:manualLayout>
          <c:xMode val="edge"/>
          <c:yMode val="edge"/>
          <c:x val="0.7028125"/>
          <c:y val="0.288888888888889"/>
        </c:manualLayout>
      </c:layout>
      <c:overlay val="0"/>
      <c:spPr>
        <a:noFill/>
        <a:ln>
          <a:noFill/>
        </a:ln>
      </c:spPr>
    </c:legend>
    <c:plotVisOnly val="1"/>
    <c:dispBlanksAs val="gap"/>
  </c:chart>
  <c:spPr>
    <a:solidFill>
      <a:srgbClr val="ffffff"/>
    </a:solidFill>
    <a:ln w="936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Maloletni</c:v>
                </c:pt>
              </c:strCache>
            </c:strRef>
          </c:tx>
          <c:spPr>
            <a:solidFill>
              <a:srgbClr val="92d050"/>
            </a:solidFill>
            <a:ln w="9360">
              <a:noFill/>
            </a:ln>
          </c:spPr>
          <c:invertIfNegative val="0"/>
          <c:dLbls>
            <c:dLbl>
              <c:idx val="0"/>
              <c:spPr>
                <a:ln w="12600">
                  <a:solidFill>
                    <a:srgbClr val="44546A"/>
                  </a:solidFill>
                </a:ln>
              </c:spPr>
              <c:dLblPos val="outEnd"/>
              <c:showLegendKey val="0"/>
              <c:showVal val="1"/>
              <c:showCatName val="0"/>
              <c:showSerName val="0"/>
              <c:showPercent val="0"/>
            </c:dLbl>
            <c:dLbl>
              <c:idx val="1"/>
              <c:spPr>
                <a:ln w="12600">
                  <a:solidFill>
                    <a:srgbClr val="44546A"/>
                  </a:solidFill>
                </a:ln>
              </c:spPr>
              <c:dLblPos val="outEnd"/>
              <c:showLegendKey val="0"/>
              <c:showVal val="1"/>
              <c:showCatName val="0"/>
              <c:showSerName val="0"/>
              <c:showPercent val="0"/>
            </c:dLbl>
            <c:dLbl>
              <c:idx val="2"/>
              <c:spPr>
                <a:ln w="12600">
                  <a:solidFill>
                    <a:srgbClr val="44546A"/>
                  </a:solidFill>
                </a:ln>
              </c:spPr>
              <c:dLblPos val="outEnd"/>
              <c:showLegendKey val="0"/>
              <c:showVal val="1"/>
              <c:showCatName val="0"/>
              <c:showSerName val="0"/>
              <c:showPercent val="0"/>
            </c:dLbl>
            <c:dLbl>
              <c:idx val="3"/>
              <c:spPr>
                <a:ln w="12600">
                  <a:solidFill>
                    <a:srgbClr val="44546A"/>
                  </a:solidFill>
                </a:ln>
              </c:spPr>
              <c:dLblPos val="outEnd"/>
              <c:showLegendKey val="0"/>
              <c:showVal val="1"/>
              <c:showCatName val="0"/>
              <c:showSerName val="0"/>
              <c:showPercent val="0"/>
            </c:dLbl>
            <c:dLbl>
              <c:idx val="4"/>
              <c:spPr>
                <a:ln w="12600">
                  <a:solidFill>
                    <a:srgbClr val="44546A"/>
                  </a:solidFill>
                </a:ln>
              </c:spPr>
              <c:dLblPos val="outEnd"/>
              <c:showLegendKey val="0"/>
              <c:showVal val="1"/>
              <c:showCatName val="0"/>
              <c:showSerName val="0"/>
              <c:showPercent val="0"/>
            </c:dLbl>
            <c:dLbl>
              <c:idx val="5"/>
              <c:spPr>
                <a:ln w="12600">
                  <a:solidFill>
                    <a:srgbClr val="44546A"/>
                  </a:solidFill>
                </a:ln>
              </c:spPr>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6"/>
                <c:pt idx="0">
                  <c:v>Senta</c:v>
                </c:pt>
                <c:pt idx="1">
                  <c:v>RS</c:v>
                </c:pt>
                <c:pt idx="2">
                  <c:v>APV</c:v>
                </c:pt>
                <c:pt idx="3">
                  <c:v>Kanjiža</c:v>
                </c:pt>
                <c:pt idx="4">
                  <c:v>Bačka Topola</c:v>
                </c:pt>
                <c:pt idx="5">
                  <c:v>Bečej</c:v>
                </c:pt>
              </c:strCache>
            </c:strRef>
          </c:cat>
          <c:val>
            <c:numRef>
              <c:f>0</c:f>
              <c:numCache>
                <c:formatCode>General</c:formatCode>
                <c:ptCount val="6"/>
                <c:pt idx="0">
                  <c:v>0.41</c:v>
                </c:pt>
                <c:pt idx="1">
                  <c:v>0.14</c:v>
                </c:pt>
                <c:pt idx="2">
                  <c:v>0.18</c:v>
                </c:pt>
                <c:pt idx="3">
                  <c:v>0.21</c:v>
                </c:pt>
                <c:pt idx="4">
                  <c:v>0.13</c:v>
                </c:pt>
                <c:pt idx="5">
                  <c:v>0.26</c:v>
                </c:pt>
              </c:numCache>
            </c:numRef>
          </c:val>
        </c:ser>
        <c:gapWidth val="150"/>
        <c:overlap val="0"/>
        <c:axId val="79396792"/>
        <c:axId val="21217388"/>
      </c:barChart>
      <c:catAx>
        <c:axId val="79396792"/>
        <c:scaling>
          <c:orientation val="maxMin"/>
        </c:scaling>
        <c:delete val="0"/>
        <c:axPos val="b"/>
        <c:numFmt formatCode="MM/DD/YYYY" sourceLinked="1"/>
        <c:majorTickMark val="none"/>
        <c:minorTickMark val="none"/>
        <c:tickLblPos val="nextTo"/>
        <c:spPr>
          <a:ln w="9360">
            <a:solidFill>
              <a:srgbClr val="d9d9d9"/>
            </a:solidFill>
            <a:round/>
          </a:ln>
        </c:spPr>
        <c:txPr>
          <a:bodyPr/>
          <a:p>
            <a:pPr>
              <a:defRPr b="1" i="1" sz="800" spc="-1" strike="noStrike">
                <a:solidFill>
                  <a:srgbClr val="000000"/>
                </a:solidFill>
                <a:uFill>
                  <a:solidFill>
                    <a:srgbClr val="ffffff"/>
                  </a:solidFill>
                </a:uFill>
                <a:latin typeface="Cambria"/>
                <a:ea typeface="Cambria"/>
              </a:defRPr>
            </a:pPr>
          </a:p>
        </c:txPr>
        <c:crossAx val="21217388"/>
        <c:crosses val="autoZero"/>
        <c:auto val="1"/>
        <c:lblAlgn val="ctr"/>
        <c:lblOffset val="100"/>
      </c:catAx>
      <c:valAx>
        <c:axId val="21217388"/>
        <c:scaling>
          <c:orientation val="minMax"/>
          <c:max val="0.45"/>
          <c:min val="0"/>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p>
            <a:pPr>
              <a:defRPr b="0" i="1" sz="900" spc="-1" strike="noStrike">
                <a:solidFill>
                  <a:srgbClr val="000000"/>
                </a:solidFill>
                <a:uFill>
                  <a:solidFill>
                    <a:srgbClr val="ffffff"/>
                  </a:solidFill>
                </a:uFill>
                <a:latin typeface="Cambria"/>
                <a:ea typeface="Cambria"/>
              </a:defRPr>
            </a:pPr>
          </a:p>
        </c:txPr>
        <c:crossAx val="79396792"/>
        <c:crosses val="autoZero"/>
        <c:crossBetween val="midCat"/>
        <c:majorUnit val="0.09"/>
      </c:valAx>
      <c:spPr>
        <a:solidFill>
          <a:srgbClr val="ffffff"/>
        </a:solidFill>
        <a:ln w="12600">
          <a:noFill/>
        </a:ln>
      </c:spPr>
    </c:plotArea>
    <c:plotVisOnly val="1"/>
    <c:dispBlanksAs val="gap"/>
  </c:chart>
  <c:spPr>
    <a:solidFill>
      <a:srgbClr val="ffffff"/>
    </a:solidFill>
    <a:ln w="936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971F-D376-4CBE-BCE1-120E2624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LibreOffice/5.1.2.2$Windows_x86 LibreOffice_project/d3bf12ecb743fc0d20e0be0c58ca359301eb705f</Application>
  <Pages>11</Pages>
  <Words>2151</Words>
  <CharactersWithSpaces>12370</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2022-02-07T11:09:00Z</dcterms:created>
  <dc:creator>Lenovo-B50</dc:creator>
  <dc:description/>
  <dc:language>en-US</dc:language>
  <cp:lastModifiedBy/>
  <dcterms:modified xsi:type="dcterms:W3CDTF">2022-02-08T08:23:14Z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