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embeddings/Microsoft_Office_Excel_Worksheet1.xlsx" ContentType="application/vnd.openxmlformats-officedocument.spreadsheetml.sheet"/>
  <Override PartName="/word/embeddings/Microsoft_Office_Excel_Worksheet2.xlsx" ContentType="application/vnd.openxmlformats-officedocument.spreadsheetml.sheet"/>
  <Override PartName="/word/embeddings/Microsoft_Office_Excel_Worksheet3.xlsx" ContentType="application/vnd.openxmlformats-officedocument.spreadsheetml.sheet"/>
  <Override PartName="/word/embeddings/Microsoft_Office_Excel_Worksheet4.xlsx" ContentType="application/vnd.openxmlformats-officedocument.spreadsheetml.sheet"/>
  <Override PartName="/word/embeddings/Microsoft_Office_Excel_Worksheet5.xlsx" ContentType="application/vnd.openxmlformats-officedocument.spreadsheetml.sheet"/>
  <Override PartName="/word/embeddings/Microsoft_Office_Excel_Worksheet6.xlsx" ContentType="application/vnd.openxmlformats-officedocument.spreadsheetml.sheet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40"/>
          <w:szCs w:val="40"/>
          <w:lang w:val="hu-HU"/>
        </w:rPr>
      </w:pPr>
      <w:r>
        <w:rPr>
          <w:rFonts w:ascii="Times New Roman" w:hAnsi="Times New Roman"/>
          <w:b/>
          <w:sz w:val="40"/>
          <w:szCs w:val="40"/>
          <w:lang w:val="hu-H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40"/>
          <w:szCs w:val="40"/>
          <w:lang w:val="hu-HU"/>
        </w:rPr>
      </w:pPr>
      <w:r>
        <w:rPr/>
        <w:drawing>
          <wp:inline distT="0" distB="0" distL="0" distR="0">
            <wp:extent cx="1524000" cy="1524000"/>
            <wp:effectExtent l="0" t="0" r="0" b="0"/>
            <wp:docPr id="1" name="Picture 1" descr="Opštinski sportski savezi - Sportski savez Vojvo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štinski sportski savezi - Sportski savez Vojvod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Style w:val="Markedcontent"/>
          <w:rFonts w:ascii="Times New Roman" w:hAnsi="Times New Roman"/>
          <w:b/>
          <w:b/>
          <w:sz w:val="28"/>
          <w:szCs w:val="28"/>
          <w:lang w:val="hu-HU"/>
        </w:rPr>
      </w:pPr>
      <w:r>
        <w:rPr>
          <w:rStyle w:val="Markedcontent"/>
          <w:rFonts w:ascii="Times New Roman" w:hAnsi="Times New Roman"/>
          <w:b/>
          <w:sz w:val="28"/>
          <w:szCs w:val="28"/>
          <w:lang w:val="hu-HU"/>
        </w:rPr>
        <w:t>ZENTA KÖZSÉG</w:t>
      </w:r>
    </w:p>
    <w:p>
      <w:pPr>
        <w:pStyle w:val="Normal"/>
        <w:rPr>
          <w:rFonts w:ascii="Arial" w:hAnsi="Arial" w:cs="Arial"/>
          <w:sz w:val="28"/>
          <w:szCs w:val="28"/>
          <w:lang w:val="hu-HU"/>
        </w:rPr>
      </w:pPr>
      <w:r>
        <w:rPr>
          <w:rFonts w:cs="Arial" w:ascii="Arial" w:hAnsi="Arial"/>
          <w:sz w:val="28"/>
          <w:szCs w:val="28"/>
          <w:lang w:val="hu-HU"/>
        </w:rPr>
      </w:r>
    </w:p>
    <w:p>
      <w:pPr>
        <w:pStyle w:val="Normal"/>
        <w:rPr>
          <w:rFonts w:ascii="Arial" w:hAnsi="Arial" w:cs="Arial"/>
          <w:sz w:val="28"/>
          <w:szCs w:val="28"/>
          <w:lang w:val="hu-HU"/>
        </w:rPr>
      </w:pPr>
      <w:r>
        <w:rPr>
          <w:rFonts w:cs="Arial" w:ascii="Arial" w:hAnsi="Arial"/>
          <w:sz w:val="28"/>
          <w:szCs w:val="28"/>
          <w:lang w:val="hu-HU"/>
        </w:rPr>
      </w:r>
    </w:p>
    <w:p>
      <w:pPr>
        <w:pStyle w:val="Normal"/>
        <w:rPr>
          <w:rFonts w:ascii="Arial" w:hAnsi="Arial" w:cs="Arial"/>
          <w:sz w:val="28"/>
          <w:szCs w:val="28"/>
          <w:lang w:val="hu-HU"/>
        </w:rPr>
      </w:pPr>
      <w:r>
        <w:rPr>
          <w:rFonts w:cs="Arial" w:ascii="Arial" w:hAnsi="Arial"/>
          <w:sz w:val="28"/>
          <w:szCs w:val="28"/>
          <w:lang w:val="hu-HU"/>
        </w:rPr>
      </w:r>
    </w:p>
    <w:p>
      <w:pPr>
        <w:pStyle w:val="Normal"/>
        <w:rPr>
          <w:rFonts w:ascii="Arial" w:hAnsi="Arial" w:cs="Arial"/>
          <w:sz w:val="28"/>
          <w:szCs w:val="28"/>
          <w:lang w:val="hu-HU"/>
        </w:rPr>
      </w:pPr>
      <w:r>
        <w:rPr>
          <w:rFonts w:cs="Arial" w:ascii="Arial" w:hAnsi="Arial"/>
          <w:sz w:val="28"/>
          <w:szCs w:val="28"/>
          <w:lang w:val="hu-HU"/>
        </w:rPr>
      </w:r>
    </w:p>
    <w:p>
      <w:pPr>
        <w:pStyle w:val="Normal"/>
        <w:rPr>
          <w:rFonts w:ascii="Arial" w:hAnsi="Arial" w:cs="Arial"/>
          <w:sz w:val="28"/>
          <w:szCs w:val="28"/>
          <w:lang w:val="hu-HU"/>
        </w:rPr>
      </w:pPr>
      <w:r>
        <w:rPr>
          <w:rFonts w:cs="Arial" w:ascii="Arial" w:hAnsi="Arial"/>
          <w:sz w:val="28"/>
          <w:szCs w:val="28"/>
          <w:lang w:val="hu-H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ZENTA KÖZSÉG 2022-TŐL A 2026-IG TERJEDŐ IDŐSZAKRA  A NEMI  EGYENJOGÚSÁG ELŐMOZDÍTÁSÁNAK HELYI AKCIÓTERVE </w:t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</w:r>
    </w:p>
    <w:p>
      <w:pPr>
        <w:sectPr>
          <w:type w:val="nextPage"/>
          <w:pgSz w:w="12240" w:h="15840"/>
          <w:pgMar w:left="720" w:right="720" w:header="0" w:top="835" w:footer="0" w:bottom="72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left" w:pos="4935" w:leader="none"/>
        </w:tabs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ab/>
        <w:t xml:space="preserve"> 2022 februárja</w:t>
      </w:r>
    </w:p>
    <w:p>
      <w:pPr>
        <w:pStyle w:val="Normal"/>
        <w:spacing w:lineRule="auto" w:line="240"/>
        <w:jc w:val="center"/>
        <w:rPr>
          <w:rStyle w:val="Markedcontent"/>
          <w:rFonts w:ascii="Arial" w:hAnsi="Arial" w:cs="Arial"/>
          <w:sz w:val="28"/>
          <w:szCs w:val="28"/>
          <w:lang w:val="hu-HU"/>
        </w:rPr>
      </w:pPr>
      <w:r>
        <w:rPr>
          <w:rFonts w:cs="Arial" w:ascii="Arial" w:hAnsi="Arial"/>
          <w:sz w:val="28"/>
          <w:szCs w:val="28"/>
          <w:lang w:val="hu-HU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/>
      </w:pPr>
      <w:r>
        <w:rPr>
          <w:rStyle w:val="Markedcontent"/>
          <w:rFonts w:cs="Times New Roman" w:ascii="Times New Roman" w:hAnsi="Times New Roman" w:asciiTheme="majorBidi" w:cstheme="majorBidi" w:hAnsiTheme="majorBidi"/>
          <w:b/>
          <w:sz w:val="24"/>
          <w:szCs w:val="24"/>
          <w:lang w:val="hu-HU"/>
        </w:rPr>
        <w:t>TÖRVÉNYES ÉS STRATÉGIAI KERET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Szerb Köztársaság számos nemzetközi dokumentumot és szerződést írt alá, amelyek tiltják a nemi hovatartozáson alapuló diszkriminációt, amelyek a nőknek és a férfiaknak azonos jogokat garantálnak,  hangsúllyal a Nők Minden Formájú  Diszkriminációja Elhárításáról szóló  Konvencióra (CEDAW) és az Isztanbuli Konvencióra. 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Szerb Köztársaság alkotmányának (a Szerb Köztársaság Hivatalos Közlönye,  98/2006. sz.) 18. szakasza 1.  bekezdésének utasításai garantálják  az emberi jogokat, amelyek   a  nemzetközi szerződésekben, általánosan elfogadott   nemzetközi jogszabályokban  és  törvényekben   kerültek  megállapításra és megerősítésre.   A  15. szakasz garantálja a  nők és a férfiak   egyenjogúságát és   az egyenlő  lehetőségű   politikák fejlesztését, míg a  21. szakasz  3. bekezdése tiltja  a diszkriminációt bármiféle alapon,  beleértve   a nemi alapon valót is. 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Szerb Köztársaságnak van felállított nemzeti kerete a nemi egyenjogúságra, az új, a  nemi egyenjogúságról szóló törvény által (a Szerb Köztársaság Hivatalos Közlönye, 52/2021. sz.), valamint  Nemzeti  Stratégiai a Nemek Egyenjogúságára  a  2021-től a 2030-ig terjedő időszakra,  akciótervvel annak lefolytatására a  2021-es évtől a 2023-as évig.  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A felsorolt  dokumentumokkal,  felállításra kerültek a  nemi egyenjogúság   mechanizmusai   minden hatalmi szinten (törvényalkotó,  végrehajtó és független mechanizmusok a figyelemmel kísérésre)   nemzeti,  tartományi  és  helyi szinten.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 nemi egyenjogúságon értendőek  az azonos jogok, felelősségek és  lehetőségek,  az egyenletes  részvétel  és  a nők és a férfiak kiegyensúlyozott  képviseltsége a társadalmi élet minden területén,   azonos  lehetőségek a  jogok  és  szabadságok megvalósítására,   a személyes  tudás  és  képességek használata  a személyes fejlődésre és a társadalom fejlődésére,  azonos  lehetőségek és  jogok  az árukhoz és  szolgáltatásokhoz való  hozzáférésre, valamint   azonos  haszon  megvalósítására a  munkaeredmények által,   méltányolva  a  biológiailag, társadalmilag és művelődésileg kialakult   különbségeket   a  férfiak és a nők között,   és  a  különböző  érdekeket, szükségleteket  és   elsőbbségeket   a  nőket és a férfiakat  illetően   a  köz- és  más  politikák  meghozatalakor és   döntéskor  a  jogokról, kötelezettségekről  és   a  törvényen alapuló   rendelkezésekről, valamint az alkotmányos rendelkezésekről.  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helyi önkormányzat a hatáskörének keretében biztosítja a férfiak és a nők egyenjogúságát és azonos  lehetőségek elérését   helyi szinten.   A nemi egyenjogúság mechanizmusai felelősek az intézkedésekért és aktivitásokért, amelyek a nemi egyenjogúság és az azonos lehetőségek elérésének funkciójában vannak  helyi szinten.  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Összhangban a nemi egyenjogúságról szóló törvény (a Szerb Köztársaság Hivatalos Közlönye, 52/2021. sz.) 63.  szakasza szerint, Zenta Község Képviselő-testülete  meghozta   a Nemi Egyenjogúsági Tanács elnökének  és   tagjainak  a  megválasztásáról szóló határozatot (Zenta Község Hivatalos Lapja, 2/2021. sz.). 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nemi egyenjogúságról szóló törvény (a Szerb Köztársaság  Hivatalos Közlönye, 52/2021. sz.) 13. szakasza előirányozza a tervaktusok faját, amelyeket meg kell hozni a nemi egyenjogúság fejlesztése, előmozdítása és  megvalósítása céljából, valamint előirányozza a helyi önkormányzati egység akciótervének meghozatalát.   Eszerint 2022. január 10-én Zenta község polgármestere meghozta a  végzést  a  munkatestület kinevezéséről   Zenta község  2022-től a  2026-ig terjedő időszakra  a  nemi egyenjogúság  előmozdítására a helyi akcióterv kidolgozására. </w:t>
      </w:r>
    </w:p>
    <w:p>
      <w:pPr>
        <w:pStyle w:val="Normal"/>
        <w:spacing w:lineRule="auto" w:line="240"/>
        <w:jc w:val="both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b/>
          <w:b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b/>
          <w:sz w:val="24"/>
          <w:szCs w:val="24"/>
          <w:lang w:val="hu-HU"/>
        </w:rPr>
        <w:t>HELYZETELEMZÉS  ZENTA KÖZSÉGBEN A  NEMI EGYENJOGÚSÁG TERÉN</w:t>
      </w:r>
    </w:p>
    <w:p>
      <w:pPr>
        <w:pStyle w:val="ListParagraph"/>
        <w:spacing w:lineRule="auto" w:line="240"/>
        <w:rPr>
          <w:rStyle w:val="Markedcontent"/>
          <w:rFonts w:ascii="Times New Roman" w:hAnsi="Times New Roman" w:cs="Times New Roman" w:asciiTheme="majorBidi" w:cstheme="majorBidi" w:hAnsiTheme="majorBidi"/>
          <w:b/>
          <w:b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sz w:val="24"/>
          <w:szCs w:val="24"/>
          <w:lang w:val="hu-HU"/>
        </w:rPr>
      </w:r>
    </w:p>
    <w:p>
      <w:pPr>
        <w:pStyle w:val="ListParagraph"/>
        <w:spacing w:lineRule="auto" w:line="240"/>
        <w:rPr>
          <w:rStyle w:val="Markedcontent"/>
          <w:rFonts w:ascii="Times New Roman" w:hAnsi="Times New Roman" w:cs="Times New Roman" w:asciiTheme="majorBidi" w:cstheme="majorBidi" w:hAnsiTheme="majorBidi"/>
          <w:b/>
          <w:b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sz w:val="24"/>
          <w:szCs w:val="24"/>
          <w:lang w:val="hu-HU"/>
        </w:rPr>
      </w:r>
    </w:p>
    <w:p>
      <w:pPr>
        <w:pStyle w:val="ListParagraph"/>
        <w:numPr>
          <w:ilvl w:val="1"/>
          <w:numId w:val="4"/>
        </w:numPr>
        <w:spacing w:lineRule="auto" w:line="240"/>
        <w:rPr>
          <w:rStyle w:val="Markedcontent"/>
          <w:rFonts w:ascii="Times New Roman" w:hAnsi="Times New Roman" w:cs="Times New Roman" w:asciiTheme="majorBidi" w:cstheme="majorBidi" w:hAnsiTheme="majorBidi"/>
          <w:b/>
          <w:b/>
          <w:sz w:val="24"/>
          <w:szCs w:val="24"/>
          <w:lang w:val="hu-HU"/>
        </w:rPr>
      </w:pPr>
      <w:r>
        <w:rPr>
          <w:rStyle w:val="Markedcontent"/>
          <w:rFonts w:cs="Times New Roman" w:ascii="Times New Roman" w:hAnsi="Times New Roman" w:asciiTheme="majorBidi" w:cstheme="majorBidi" w:hAnsiTheme="majorBidi"/>
          <w:b/>
          <w:sz w:val="24"/>
          <w:szCs w:val="24"/>
          <w:lang w:val="hu-HU"/>
        </w:rPr>
        <w:t>Földrajzi adatok</w:t>
      </w:r>
    </w:p>
    <w:p>
      <w:pPr>
        <w:pStyle w:val="ListParagraph"/>
        <w:spacing w:lineRule="auto" w:line="240"/>
        <w:ind w:left="1440" w:hanging="0"/>
        <w:rPr>
          <w:rStyle w:val="Markedcontent"/>
          <w:rFonts w:ascii="Times New Roman" w:hAnsi="Times New Roman" w:cs="Times New Roman" w:asciiTheme="majorBidi" w:cstheme="majorBidi" w:hAnsiTheme="majorBidi"/>
          <w:b/>
          <w:b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/>
          <w:sz w:val="24"/>
          <w:szCs w:val="24"/>
          <w:lang w:val="hu-HU"/>
        </w:rPr>
      </w:r>
    </w:p>
    <w:p>
      <w:pPr>
        <w:pStyle w:val="ListParagraph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 w:eastAsia="en-GB"/>
        </w:rPr>
        <w:t xml:space="preserve">Zenta község  Bácska  északkeleti részében terül el,   Vajdaság északi részében és  az Észak-bánáti Körzethez tartozik,   annak ellenére, hogy Bácskában található. Határos  Csóka községgel keleten,   ahol a természetes határt   a Tisza folyó  képezi.   Nyugaton   a  Csík patak   képezi a határt  Topolyával,  és  északon  Magyarkanizsa és Szabadka  felé  és  délen Ada felé  a  határok  mesterségesen lettek meghúzva. </w:t>
      </w:r>
    </w:p>
    <w:p>
      <w:pPr>
        <w:pStyle w:val="ListParagraph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Zenta községet  körülveszi  Szabadka város  és  Topolya  község  a  nyugati oldalon és Magyarkanizsa község   az északi oldalon,   Csóka községgel keleten  és  Ada községgel a déli oldalon határos.  </w:t>
      </w:r>
    </w:p>
    <w:p>
      <w:pPr>
        <w:pStyle w:val="Normal"/>
        <w:spacing w:before="0" w:after="120"/>
        <w:ind w:left="720" w:hanging="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Zenta   regionális utak kereszteződése,   Szeged-Zenta-Újvidék  és  Topolya-Zenta-Csóka-Nagykikinda.   A vasúti közlekedés beszüntetlésével   a  Horgos-Magyarkanizsa-Zenta-Óbecse-Újvidék vonalon és  az E-75-ös autópálya   kiépítésével, amelytől  38 km-es távolságban  van, Zenta  távol maradt   az európai korridoroktól. </w:t>
      </w:r>
    </w:p>
    <w:p>
      <w:pPr>
        <w:pStyle w:val="Normal"/>
        <w:spacing w:before="0" w:after="120"/>
        <w:ind w:firstLine="720"/>
        <w:rPr>
          <w:rFonts w:ascii="Times New Roman" w:hAnsi="Times New Roman" w:eastAsia="Calibri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>Zenta községnek 5 lakott települése van, éspedig:</w:t>
      </w:r>
    </w:p>
    <w:p>
      <w:pPr>
        <w:pStyle w:val="Normal"/>
        <w:spacing w:before="0" w:after="120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tbl>
      <w:tblPr>
        <w:tblStyle w:val="GridTable5Dark-Accent31"/>
        <w:tblW w:w="509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4"/>
        <w:gridCol w:w="3117"/>
        <w:gridCol w:w="1277"/>
      </w:tblGrid>
      <w:tr>
        <w:trPr>
          <w:trHeight w:val="567" w:hRule="atLeast"/>
          <w:cnfStyle w:val="100000000000"/>
        </w:trPr>
        <w:tc>
          <w:tcPr>
            <w:tcW w:w="5098" w:type="dxa"/>
            <w:gridSpan w:val="3"/>
            <w:cnfStyle w:val="00100000000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bCs w:val="false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 w:val="false"/>
                <w:iCs/>
                <w:color w:val="00000A"/>
                <w:sz w:val="24"/>
                <w:szCs w:val="24"/>
                <w:lang w:val="hu-HU"/>
              </w:rPr>
              <w:t>Zenta község  lakosainak  száma településenként a 2011-es  népszámlálás szerint:</w:t>
            </w:r>
          </w:p>
        </w:tc>
      </w:tr>
      <w:tr>
        <w:trPr>
          <w:trHeight w:val="567" w:hRule="atLeast"/>
          <w:cnfStyle w:val="000000100000"/>
        </w:trPr>
        <w:tc>
          <w:tcPr>
            <w:tcW w:w="704" w:type="dxa"/>
            <w:cnfStyle w:val="001000000000"/>
            <w:tcBorders>
              <w:left w:val="dotted" w:sz="4" w:space="0" w:color="00000A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iCs/>
                <w:color w:val="00000A"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i/>
                <w:iCs/>
                <w:color w:val="00000A"/>
                <w:sz w:val="24"/>
                <w:szCs w:val="24"/>
                <w:lang w:val="hu-HU"/>
              </w:rPr>
              <w:t>1.</w:t>
            </w:r>
          </w:p>
        </w:tc>
        <w:tc>
          <w:tcPr>
            <w:tcW w:w="31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nfStyle w:val="0000001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Bogaras</w:t>
            </w:r>
          </w:p>
        </w:tc>
        <w:tc>
          <w:tcPr>
            <w:tcW w:w="12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right"/>
              <w:cnfStyle w:val="0000001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568</w:t>
            </w:r>
          </w:p>
        </w:tc>
      </w:tr>
      <w:tr>
        <w:trPr>
          <w:trHeight w:val="567" w:hRule="atLeast"/>
        </w:trPr>
        <w:tc>
          <w:tcPr>
            <w:tcW w:w="704" w:type="dxa"/>
            <w:cnfStyle w:val="001000000000"/>
            <w:tcBorders>
              <w:left w:val="dotted" w:sz="4" w:space="0" w:color="00000A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iCs/>
                <w:color w:val="00000A"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i/>
                <w:iCs/>
                <w:color w:val="00000A"/>
                <w:sz w:val="24"/>
                <w:szCs w:val="24"/>
                <w:lang w:val="hu-HU"/>
              </w:rPr>
              <w:t>2.</w:t>
            </w:r>
          </w:p>
        </w:tc>
        <w:tc>
          <w:tcPr>
            <w:tcW w:w="31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nfStyle w:val="0000000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 xml:space="preserve">Felsőhegy </w:t>
            </w:r>
          </w:p>
        </w:tc>
        <w:tc>
          <w:tcPr>
            <w:tcW w:w="12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right"/>
              <w:cnfStyle w:val="0000000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1,726</w:t>
            </w:r>
          </w:p>
        </w:tc>
      </w:tr>
      <w:tr>
        <w:trPr>
          <w:trHeight w:val="567" w:hRule="atLeast"/>
          <w:cnfStyle w:val="000000100000"/>
        </w:trPr>
        <w:tc>
          <w:tcPr>
            <w:tcW w:w="704" w:type="dxa"/>
            <w:cnfStyle w:val="001000000000"/>
            <w:tcBorders>
              <w:left w:val="dotted" w:sz="4" w:space="0" w:color="00000A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iCs/>
                <w:color w:val="00000A"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i/>
                <w:iCs/>
                <w:color w:val="00000A"/>
                <w:sz w:val="24"/>
                <w:szCs w:val="24"/>
                <w:lang w:val="hu-HU"/>
              </w:rPr>
              <w:t>3.</w:t>
            </w:r>
          </w:p>
        </w:tc>
        <w:tc>
          <w:tcPr>
            <w:tcW w:w="31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nfStyle w:val="0000001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Kevi</w:t>
            </w:r>
          </w:p>
        </w:tc>
        <w:tc>
          <w:tcPr>
            <w:tcW w:w="12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right"/>
              <w:cnfStyle w:val="0000001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726</w:t>
            </w:r>
          </w:p>
        </w:tc>
      </w:tr>
      <w:tr>
        <w:trPr>
          <w:trHeight w:val="567" w:hRule="atLeast"/>
        </w:trPr>
        <w:tc>
          <w:tcPr>
            <w:tcW w:w="704" w:type="dxa"/>
            <w:cnfStyle w:val="001000000000"/>
            <w:tcBorders>
              <w:left w:val="dotted" w:sz="4" w:space="0" w:color="00000A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iCs/>
                <w:color w:val="00000A"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i/>
                <w:iCs/>
                <w:color w:val="00000A"/>
                <w:sz w:val="24"/>
                <w:szCs w:val="24"/>
                <w:lang w:val="hu-HU"/>
              </w:rPr>
              <w:t>4.</w:t>
            </w:r>
          </w:p>
        </w:tc>
        <w:tc>
          <w:tcPr>
            <w:tcW w:w="31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nfStyle w:val="0000000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Zenta</w:t>
            </w:r>
          </w:p>
        </w:tc>
        <w:tc>
          <w:tcPr>
            <w:tcW w:w="12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right"/>
              <w:cnfStyle w:val="0000000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18,704</w:t>
            </w:r>
          </w:p>
        </w:tc>
      </w:tr>
      <w:tr>
        <w:trPr>
          <w:trHeight w:val="567" w:hRule="atLeast"/>
          <w:cnfStyle w:val="000000100000"/>
        </w:trPr>
        <w:tc>
          <w:tcPr>
            <w:tcW w:w="704" w:type="dxa"/>
            <w:cnfStyle w:val="001000000000"/>
            <w:tcBorders>
              <w:left w:val="dotted" w:sz="4" w:space="0" w:color="00000A"/>
              <w:right w:val="nil"/>
              <w:insideV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iCs/>
                <w:color w:val="00000A"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/>
                <w:i/>
                <w:iCs/>
                <w:color w:val="00000A"/>
                <w:sz w:val="24"/>
                <w:szCs w:val="24"/>
                <w:lang w:val="hu-HU"/>
              </w:rPr>
              <w:t>5.</w:t>
            </w:r>
          </w:p>
        </w:tc>
        <w:tc>
          <w:tcPr>
            <w:tcW w:w="31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nfStyle w:val="0000001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Tornyos</w:t>
            </w:r>
          </w:p>
        </w:tc>
        <w:tc>
          <w:tcPr>
            <w:tcW w:w="12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right"/>
              <w:cnfStyle w:val="000000100000"/>
              <w:rPr>
                <w:rFonts w:ascii="Times New Roman" w:hAnsi="Times New Roman" w:cs="Times New Roman" w:asciiTheme="majorBidi" w:cstheme="majorBidi" w:hAnsiTheme="majorBidi"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Cs/>
                <w:sz w:val="24"/>
                <w:szCs w:val="24"/>
                <w:lang w:val="hu-HU"/>
              </w:rPr>
              <w:t>1,592</w:t>
            </w:r>
          </w:p>
        </w:tc>
      </w:tr>
      <w:tr>
        <w:trPr>
          <w:trHeight w:val="567" w:hRule="atLeast"/>
        </w:trPr>
        <w:tc>
          <w:tcPr>
            <w:tcW w:w="3821" w:type="dxa"/>
            <w:gridSpan w:val="2"/>
            <w:cnfStyle w:val="001000000000"/>
            <w:tcBorders>
              <w:left w:val="dotted" w:sz="4" w:space="0" w:color="00000A"/>
              <w:bottom w:val="dotted" w:sz="4" w:space="0" w:color="00000A"/>
              <w:right w:val="nil"/>
              <w:insideH w:val="dotted" w:sz="4" w:space="0" w:color="00000A"/>
              <w:insideV w:val="nil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Cs w:val="false"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bCs w:val="false"/>
                <w:color w:val="00000A"/>
                <w:sz w:val="24"/>
                <w:szCs w:val="24"/>
                <w:lang w:val="hu-HU"/>
              </w:rPr>
              <w:t>ÖSSZESEN:</w:t>
            </w:r>
          </w:p>
        </w:tc>
        <w:tc>
          <w:tcPr>
            <w:tcW w:w="127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TableContents"/>
              <w:snapToGrid w:val="false"/>
              <w:spacing w:lineRule="auto" w:line="240"/>
              <w:jc w:val="right"/>
              <w:cnfStyle w:val="000000000000"/>
              <w:rPr>
                <w:rFonts w:ascii="Times New Roman" w:hAnsi="Times New Roman" w:cs="Times New Roman" w:asciiTheme="majorBidi" w:cstheme="majorBidi" w:hAnsiTheme="majorBidi"/>
                <w:b/>
                <w:b/>
                <w:lang w:val="hu-HU"/>
              </w:rPr>
            </w:pPr>
            <w:r>
              <w:rPr>
                <w:rFonts w:eastAsia="Calibri" w:cs="Times New Roman" w:cstheme="majorBidi"/>
                <w:b/>
                <w:sz w:val="20"/>
                <w:szCs w:val="20"/>
                <w:lang w:val="hu-HU"/>
              </w:rPr>
              <w:t>23,316</w:t>
            </w:r>
          </w:p>
        </w:tc>
      </w:tr>
    </w:tbl>
    <w:p>
      <w:pPr>
        <w:pStyle w:val="Normal"/>
        <w:rPr>
          <w:rFonts w:ascii="Times New Roman" w:hAnsi="Times New Roman" w:cs="Times New Roman" w:asciiTheme="majorBidi" w:cstheme="majorBidi" w:hAnsiTheme="majorBidi"/>
          <w:bCs/>
          <w:i/>
          <w:i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bCs/>
          <w:i/>
          <w:sz w:val="24"/>
          <w:szCs w:val="24"/>
          <w:u w:val="single"/>
          <w:lang w:val="hu-HU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Cs/>
          <w:i/>
          <w:i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bCs/>
          <w:i/>
          <w:sz w:val="24"/>
          <w:szCs w:val="24"/>
          <w:u w:val="single"/>
          <w:lang w:val="hu-HU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Cs/>
          <w:i/>
          <w:i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bCs/>
          <w:i/>
          <w:sz w:val="24"/>
          <w:szCs w:val="24"/>
          <w:u w:val="single"/>
          <w:lang w:val="hu-HU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Cs/>
          <w:i/>
          <w:i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bCs/>
          <w:i/>
          <w:sz w:val="24"/>
          <w:szCs w:val="24"/>
          <w:u w:val="single"/>
          <w:lang w:val="hu-HU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bCs/>
          <w:i/>
          <w:i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bCs/>
          <w:i/>
          <w:sz w:val="24"/>
          <w:szCs w:val="24"/>
          <w:u w:val="single"/>
          <w:lang w:val="hu-HU"/>
        </w:rPr>
      </w:r>
    </w:p>
    <w:p>
      <w:pPr>
        <w:pStyle w:val="Normal"/>
        <w:tabs>
          <w:tab w:val="left" w:pos="120" w:leader="none"/>
          <w:tab w:val="right" w:pos="9120" w:leader="dot"/>
        </w:tabs>
        <w:spacing w:before="0" w:after="120"/>
        <w:rPr>
          <w:rFonts w:ascii="Times New Roman" w:hAnsi="Times New Roman" w:cs="Times New Roman" w:asciiTheme="majorBidi" w:cstheme="majorBidi" w:hAnsiTheme="majorBidi"/>
          <w:bCs/>
          <w:i/>
          <w:i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>2.2  Alapvető demográfiai adatok</w:t>
      </w:r>
    </w:p>
    <w:tbl>
      <w:tblPr>
        <w:tblW w:w="9004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069"/>
        <w:gridCol w:w="1990"/>
        <w:gridCol w:w="1945"/>
      </w:tblGrid>
      <w:tr>
        <w:trPr/>
        <w:tc>
          <w:tcPr>
            <w:tcW w:w="50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  <w:lang w:val="hu-HU"/>
              </w:rPr>
              <w:t>Mutatók</w:t>
            </w:r>
          </w:p>
        </w:tc>
        <w:tc>
          <w:tcPr>
            <w:tcW w:w="1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  <w:lang w:val="hu-HU"/>
              </w:rPr>
              <w:t>Zenta</w:t>
            </w:r>
          </w:p>
        </w:tc>
        <w:tc>
          <w:tcPr>
            <w:tcW w:w="1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  <w:lang w:val="hu-HU"/>
              </w:rPr>
              <w:t>Szerbia</w:t>
            </w:r>
          </w:p>
        </w:tc>
      </w:tr>
      <w:tr>
        <w:trPr/>
        <w:tc>
          <w:tcPr>
            <w:tcW w:w="50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  <w:lang w:val="hu-HU"/>
              </w:rPr>
              <w:t>Teljes szám (népszámlálás 2011) :</w:t>
            </w:r>
          </w:p>
        </w:tc>
        <w:tc>
          <w:tcPr>
            <w:tcW w:w="1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i/>
                <w:i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color w:val="000000"/>
                <w:sz w:val="24"/>
                <w:szCs w:val="24"/>
                <w:lang w:val="hu-HU"/>
              </w:rPr>
              <w:t>23316</w:t>
            </w:r>
          </w:p>
        </w:tc>
        <w:tc>
          <w:tcPr>
            <w:tcW w:w="1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color w:val="000000"/>
                <w:sz w:val="24"/>
                <w:szCs w:val="24"/>
                <w:lang w:val="hu-HU"/>
              </w:rPr>
              <w:t>7186862</w:t>
            </w:r>
          </w:p>
        </w:tc>
      </w:tr>
      <w:tr>
        <w:trPr/>
        <w:tc>
          <w:tcPr>
            <w:tcW w:w="50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  <w:lang w:val="hu-HU"/>
              </w:rPr>
              <w:t>A lakosok becsült száma (2019):</w:t>
            </w:r>
          </w:p>
        </w:tc>
        <w:tc>
          <w:tcPr>
            <w:tcW w:w="1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i/>
                <w:i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color w:val="000000"/>
                <w:sz w:val="24"/>
                <w:szCs w:val="24"/>
                <w:lang w:val="hu-HU"/>
              </w:rPr>
              <w:t>21630</w:t>
            </w:r>
          </w:p>
        </w:tc>
        <w:tc>
          <w:tcPr>
            <w:tcW w:w="1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i/>
                <w:i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color w:val="000000"/>
                <w:sz w:val="24"/>
                <w:szCs w:val="24"/>
                <w:lang w:val="hu-HU"/>
              </w:rPr>
              <w:t>6945235</w:t>
            </w:r>
          </w:p>
        </w:tc>
      </w:tr>
      <w:tr>
        <w:trPr/>
        <w:tc>
          <w:tcPr>
            <w:tcW w:w="50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  <w:lang w:val="hu-HU"/>
              </w:rPr>
              <w:t>Természetes szaporulat 1000 lakosra (2019):</w:t>
            </w:r>
          </w:p>
        </w:tc>
        <w:tc>
          <w:tcPr>
            <w:tcW w:w="1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- 11,4</w:t>
            </w:r>
          </w:p>
        </w:tc>
        <w:tc>
          <w:tcPr>
            <w:tcW w:w="1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- 5,3</w:t>
            </w:r>
          </w:p>
        </w:tc>
      </w:tr>
      <w:tr>
        <w:trPr/>
        <w:tc>
          <w:tcPr>
            <w:tcW w:w="50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rFonts w:ascii="Times New Roman" w:hAnsi="Times New Roman" w:cs="Times New Roman" w:asciiTheme="majorBidi" w:cstheme="majorBidi" w:hAnsiTheme="majorBidi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4"/>
                <w:szCs w:val="24"/>
                <w:lang w:val="hu-HU"/>
              </w:rPr>
              <w:t xml:space="preserve">A lakosok számának csökkenése 2002 – 2011: </w:t>
            </w:r>
          </w:p>
        </w:tc>
        <w:tc>
          <w:tcPr>
            <w:tcW w:w="1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8,81 %</w:t>
            </w:r>
          </w:p>
        </w:tc>
        <w:tc>
          <w:tcPr>
            <w:tcW w:w="19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4,15 %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i/>
          <w:sz w:val="24"/>
          <w:szCs w:val="24"/>
          <w:u w:val="single"/>
          <w:lang w:val="hu-HU"/>
        </w:rPr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Zenta község   demográfiai  fejlődésének elemzése   a  hivatalos  statisztikai adatok alapján történt,  az 1991-2011-ig terjedő időszakban  a  népszámlálás szerint -  Zenta  községben,   az összesen 5 lakott településen,   a 2011-es évi népszámlálás szerint  23316 lakos él,   9383 háztartásban,   átlagos nagysága  2,5  tag háztartásonként.  </w:t>
      </w:r>
    </w:p>
    <w:p>
      <w:pPr>
        <w:pStyle w:val="Normal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2002-től a  2011-ig terjedő időszakban,  Zenta község   lakosainak teljes száma csökkent  8,81%-kal vagy  2252 személlyel.  Zenta községben az  általános demográfiai helyzet  kedvezőtlen.   Jellemző a  populáció folyamatos   csökkenése minden településen,   kedvezőtlen korbeli  szerkezet  mellett,   az elöregedés   magas indexével és  kifejezetten   magas  negatív  természetes szaporulati százalékkal.   Várható, hogy   minden településen   folytatódik a depopularizáció  folyamata,   a  populáció   vitális jellemzőinek  rosszabodása  mellett,  így szükséges  a  megfelelő   demográfiai politika  intézkedéseivel, legalább enyhíteni   a  negatív   populációs   tendenciót. 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/>
        <w:drawing>
          <wp:inline distT="0" distB="0" distL="0" distR="0">
            <wp:extent cx="3924300" cy="20955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before="0" w:after="6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Cs/>
          <w:sz w:val="24"/>
          <w:szCs w:val="24"/>
          <w:lang w:val="hu-HU"/>
        </w:rPr>
      </w:r>
    </w:p>
    <w:p>
      <w:pPr>
        <w:pStyle w:val="Normal"/>
        <w:spacing w:before="0" w:after="6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Cs/>
          <w:sz w:val="24"/>
          <w:szCs w:val="24"/>
          <w:lang w:val="hu-HU"/>
        </w:rPr>
      </w:r>
    </w:p>
    <w:p>
      <w:pPr>
        <w:pStyle w:val="Normal"/>
        <w:spacing w:before="0" w:after="6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Cs/>
          <w:sz w:val="24"/>
          <w:szCs w:val="24"/>
          <w:lang w:val="hu-HU"/>
        </w:rPr>
      </w:r>
    </w:p>
    <w:p>
      <w:pPr>
        <w:pStyle w:val="Normal"/>
        <w:spacing w:before="0" w:after="6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>A lakosság nemzetiségi szerkezete</w:t>
      </w:r>
    </w:p>
    <w:p>
      <w:pPr>
        <w:pStyle w:val="Normal"/>
        <w:spacing w:before="0" w:after="6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Zenta község, az utolsó hivatalos népszámlálás szerint 23.316 lakost számlál,  és   multinacionális   közeget képez és  a  legnagyobb etnikai  csoportosulást  a  magyarok teszik  összesen  18.444 lakossal, ami  a teljes  lakosok számának  79,10%-át teszi.  A szerbek a lakosok  10,86%-át teszik  2.533 lakossal,  a romák   595 lakossal   2,55%-ot képeznek és  a  többi  etnikai  közösség,  1744-en (albánok, bunyevácok,  goránok,  makedónok, muzulmánok,  németek,   románok, ruszinok,  szlovénok, szlovákok, jugoszlávok,  ukrajnaiak, horvátok,  montenegróiak,  elkötelezetlenek,   valamint   vallási  hovatartozások), akik  együtt  Zenta  község összes lakosának  a  7,48%-át teszik.  </w:t>
      </w:r>
    </w:p>
    <w:p>
      <w:pPr>
        <w:pStyle w:val="Normal"/>
        <w:tabs>
          <w:tab w:val="left" w:pos="3780" w:leader="none"/>
          <w:tab w:val="center" w:pos="5400" w:leader="none"/>
        </w:tabs>
        <w:spacing w:before="120" w:after="120"/>
        <w:rPr>
          <w:rFonts w:ascii="Times New Roman" w:hAnsi="Times New Roman" w:cs="Times New Roman" w:asciiTheme="majorBidi" w:cstheme="majorBidi" w:hAnsiTheme="majorBidi"/>
          <w:b/>
          <w:b/>
          <w:sz w:val="24"/>
          <w:szCs w:val="24"/>
          <w:lang w:val="hu-HU"/>
        </w:rPr>
      </w:pPr>
      <w:r>
        <w:rPr/>
        <w:drawing>
          <wp:inline distT="0" distB="0" distL="0" distR="0">
            <wp:extent cx="5448300" cy="17145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Zenta  községben a  natalitási százalék  értéke   a  megfigyelési időszakban, ahogyan  az a következő diagramon  látható,   esésben van  a  2019-es évben is, 8,69-et tesz ki, és  az elhalálozási százalék   nagyon  magas,  20,11-es értékkel,  míg a természetes szaporulat   negatív előjelű és  -11,42-őt tesz ki, ami  jelentős   rosszabbodás a  2015-ös évhez viszonyítva,  amikor ez az érték  -7,83-at tett ki. 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jc w:val="both"/>
        <w:rPr>
          <w:rFonts w:ascii="Times New Roman" w:hAnsi="Times New Roman" w:cs="Times New Roman" w:asciiTheme="majorBidi" w:cstheme="majorBidi" w:hAnsiTheme="majorBidi"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 xml:space="preserve">2. 3. Oktatás </w:t>
      </w:r>
    </w:p>
    <w:p>
      <w:pPr>
        <w:pStyle w:val="Normal"/>
        <w:spacing w:before="0" w:after="6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lakosság oktatási szerkezete </w:t>
      </w:r>
    </w:p>
    <w:tbl>
      <w:tblPr>
        <w:tblW w:w="946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950"/>
        <w:gridCol w:w="1133"/>
        <w:gridCol w:w="1277"/>
        <w:gridCol w:w="1274"/>
        <w:gridCol w:w="1277"/>
        <w:gridCol w:w="1277"/>
        <w:gridCol w:w="1275"/>
      </w:tblGrid>
      <w:tr>
        <w:trPr/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 w:asciiTheme="majorBidi" w:cstheme="majorBidi" w:hAnsiTheme="majorBidi"/>
                <w:b/>
                <w:b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i/>
                <w:sz w:val="24"/>
                <w:szCs w:val="24"/>
                <w:lang w:val="hu-HU"/>
              </w:rPr>
              <w:t>Zenta község - népszámlálás 2011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Iskolai végzettség nélkül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Nem teljes általános iskola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Alapfokú oktatás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Középfokú oktatás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Főiskolai oktatás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Felsőfokú oktatás</w:t>
            </w:r>
          </w:p>
        </w:tc>
      </w:tr>
      <w:tr>
        <w:trPr>
          <w:trHeight w:val="465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 w:asciiTheme="majorBidi" w:cstheme="majorBidi" w:hAnsiTheme="majorBidi"/>
                <w:b/>
                <w:b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sz w:val="24"/>
                <w:szCs w:val="24"/>
                <w:lang w:val="hu-HU"/>
              </w:rPr>
              <w:t xml:space="preserve">Összesen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332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2,791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4,863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9,317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1,168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1,491</w:t>
            </w:r>
          </w:p>
        </w:tc>
      </w:tr>
      <w:tr>
        <w:trPr>
          <w:trHeight w:val="465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 w:asciiTheme="majorBidi" w:cstheme="majorBidi" w:hAnsiTheme="majorBidi"/>
                <w:b/>
                <w:b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sz w:val="24"/>
                <w:szCs w:val="24"/>
                <w:lang w:val="hu-HU"/>
              </w:rPr>
              <w:t xml:space="preserve">Férfiak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152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1,065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2,245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4,848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588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696</w:t>
            </w:r>
          </w:p>
        </w:tc>
      </w:tr>
      <w:tr>
        <w:trPr>
          <w:trHeight w:val="465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 w:asciiTheme="majorBidi" w:cstheme="majorBidi" w:hAnsiTheme="majorBidi"/>
                <w:b/>
                <w:b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/>
                <w:sz w:val="24"/>
                <w:szCs w:val="24"/>
                <w:lang w:val="hu-HU"/>
              </w:rPr>
              <w:t xml:space="preserve">Nők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180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1,726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2,618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4,469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580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eastAsia="Calibri" w:cs="Times New Roman" w:asciiTheme="majorBidi" w:cstheme="majorBidi" w:hAnsiTheme="majorBidi"/>
                <w:i/>
                <w:i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i/>
                <w:sz w:val="24"/>
                <w:szCs w:val="24"/>
                <w:lang w:val="hu-HU"/>
              </w:rPr>
              <w:t>795</w:t>
            </w:r>
          </w:p>
        </w:tc>
      </w:tr>
    </w:tbl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Iskoláskor előtti oktatás </w:t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Hófehérke Óvodában a munka tizenegy létesítményben folyik, kilenc létesítmény az intézmény tulajdona  - hét Zentán és egy Felsőhegyen,  egy Tornyoson,   a  bogarai és a kevi  tagozatok   a Stevan Sremac Általános Iskolában találtak elhelyezést.   1998-ban a nevelők kezdeményezésérre minden létesítmény saját nevet kap.  </w:t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következő diagramban bemutatásra kerülnek Zenta község adatai és összehasonlítva   a  következő  községek  adataival: Óbecse, Magyarkanizsa és Topolya,  és  úgyszintén  a tartományi és köztársasági átlaghoz  viszonyítva.  </w:t>
      </w:r>
    </w:p>
    <w:p>
      <w:pPr>
        <w:pStyle w:val="Normal"/>
        <w:spacing w:before="0" w:after="120"/>
        <w:jc w:val="center"/>
        <w:rPr>
          <w:rFonts w:ascii="Times New Roman" w:hAnsi="Times New Roman" w:cs="Times New Roman" w:asciiTheme="majorBidi" w:cstheme="majorBidi" w:hAnsiTheme="majorBidi"/>
          <w:bCs/>
          <w:i/>
          <w:i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>A gyermekek felöleltsége 0-3 éves korig az iskoláskor előkészítő  programig (PPP) és akik látogatják a PPP-t (%) a  környékbeli községekhez és  a  köztársasági és  tartományi  átlaghoz viszonyítva  - 2019-es év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jc w:val="center"/>
        <w:rPr>
          <w:rFonts w:ascii="Times New Roman" w:hAnsi="Times New Roman" w:cs="Times New Roman" w:asciiTheme="majorBidi" w:cstheme="majorBidi" w:hAnsiTheme="majorBidi"/>
          <w:bCs/>
          <w:sz w:val="24"/>
          <w:szCs w:val="24"/>
          <w:lang w:val="hu-HU"/>
        </w:rPr>
      </w:pPr>
      <w:r>
        <w:rPr/>
        <w:drawing>
          <wp:inline distT="0" distB="0" distL="0" distR="0">
            <wp:extent cx="4715510" cy="252031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/>
          <w:sz w:val="24"/>
          <w:szCs w:val="24"/>
          <w:lang w:val="hu-HU"/>
        </w:rPr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/>
          <w:sz w:val="24"/>
          <w:szCs w:val="24"/>
          <w:lang w:val="hu-HU"/>
        </w:rPr>
        <w:t xml:space="preserve">Alapfokú- és középiskolai oktatás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>A község területén három középiskola létezik: a Gimnázium, a Közgazdasági és Kereskedelmi Iskola és az Egészségügyi Középiskola és öt  általános iskola. 2003-ban megnyílt a Bolyai  Matematikai Tehetséggondozó Gimnázium magyar nyelven.   Az általános iskola  mellett  létezik az  alsó fokú  zeneiskola,  amely  nagyon sikeresen működik több száz diákkal.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Az alapfokú oktatás  és  nevelés Zenta   község területén   az alábbiakban valósul meg: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- négy (4) alapfokú törzsiskolában és három (3) kihelyezett tagozaton  az elsőtől negyedik osztályos  tanulók  oktatására,  illetve   a nyolcadik osztályra,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- egy (1) alapfokú törzsiskolában  a  zenei oktatásra és  négy (4) kihelyezett  tagozaton,   az  ötödiktől  a hatodik osztályos  tanulók oktatására. 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Az iskolahálózatot a  nyilvános általános  iskolák  alkotják, amelyek  a  tevékenységüket, az alapfokú oktatást  és nevelést  a székhelyükön és a székhelyükön kívül látják el, kihelyezett tagozatok szervezésével Zenta község területén, illetve  egy  kihelyezett  tagozattal  Csóka község területén.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Az iskolahálózatot az alábbiak alkotják: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1. Stevan Sremac Általános Iskola, Zenta, Makszim Gorkij 1-es sz.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>2. Petőfi Sándor Általános Iskola, Zenta, Árpád u.  83-as sz.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>3. Thurzó Lajos Általános Iskola, Zenta, Vasútsor  44-es sz.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4. Tömörkény István Általános Iskola, Tornyoson,  Radnóti Miklós u.  12-es szám és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5. Stevan Mokranjac Alapfokú Zeneiskola, Zenta, Fő u. 36-os szám.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zentai Petőfi Sándor Általános Iskola keretében szervezik a kihelyezett tagozatot, éspedig: Csokonai Vitéz Mihály Kihelyezett Tagozat, Felsőhegy, Nagy sor 37/a szám,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tornyosi Tömörkény István Általános Iskola keretében  két  kihelyezett tagozatot szerveznek, éspedig: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Kihelyezett Tagozat  Kevi, Kevi, Kossuth Lajos u. 6-os szám és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Kihelyezett Tagozat Bogaras, Bogaras, Marsall Tito u. 25-ös szám.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zentai   Stevan Mokranjac  Alapfokú Zeneiskola   keretében  négy kihelyezett tagozat található, éspedig: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Kihelyezett tagozat  Csókán, a  </w:t>
      </w: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</w:rPr>
        <w:t xml:space="preserve">Branko Radičević u. 11-es szám alatt,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Kihelyezett tagozat Felsőhegyen, Kis köz 59-es szám alatt,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>Kihelyezett tagozat Tornyoson, a  Sveti Stevan  u. 3-as szám alatt és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bookmarkStart w:id="0" w:name="_Hlk75433835"/>
      <w:bookmarkEnd w:id="0"/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Kihelyezett tagozat Zentán, a Fő tér  4-es szám alatt. 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Cs/>
          <w:sz w:val="24"/>
          <w:szCs w:val="24"/>
          <w:lang w:val="hu-HU"/>
        </w:rPr>
      </w:r>
    </w:p>
    <w:p>
      <w:pPr>
        <w:pStyle w:val="ListParagrap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/>
          <w:sz w:val="24"/>
          <w:szCs w:val="24"/>
          <w:lang w:val="hu-HU"/>
        </w:rPr>
        <w:t xml:space="preserve">2.4 Munkapiac </w:t>
      </w:r>
    </w:p>
    <w:p>
      <w:pPr>
        <w:pStyle w:val="Normal"/>
        <w:tabs>
          <w:tab w:val="left" w:pos="120" w:leader="none"/>
          <w:tab w:val="left" w:pos="540" w:leader="none"/>
          <w:tab w:val="left" w:pos="2640" w:leader="none"/>
        </w:tabs>
        <w:spacing w:before="0" w:after="120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/>
          <w:sz w:val="24"/>
          <w:szCs w:val="24"/>
          <w:lang w:val="hu-HU"/>
        </w:rPr>
        <w:t>Foglalkoztatottság</w:t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506210" cy="2524760"/>
                <wp:effectExtent l="0" t="0" r="0" b="0"/>
                <wp:wrapSquare wrapText="bothSides"/>
                <wp:docPr id="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60" cy="252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245" w:type="dxa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091"/>
                              <w:gridCol w:w="1193"/>
                              <w:gridCol w:w="1192"/>
                              <w:gridCol w:w="1193"/>
                              <w:gridCol w:w="1193"/>
                              <w:gridCol w:w="1192"/>
                              <w:gridCol w:w="1190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 xml:space="preserve">Zenta község 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>A foglalkoztatottak  teljes száma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6,990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6,732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6,795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7,350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7,591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7,780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 xml:space="preserve">A foglalkoztatottak száma gazdasági  társaságokban 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5,601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5,337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5,396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5,980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6,258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6,475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 xml:space="preserve">A foglalkoztatottak száma vállalkozóknál 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825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839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848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836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>Az individuális   regisztrált mezőgazdászok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563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541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522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470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-5.65pt;margin-top:0.05pt;width:512.2pt;height:198.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245" w:type="dxa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091"/>
                        <w:gridCol w:w="1193"/>
                        <w:gridCol w:w="1192"/>
                        <w:gridCol w:w="1193"/>
                        <w:gridCol w:w="1193"/>
                        <w:gridCol w:w="1192"/>
                        <w:gridCol w:w="1190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val="hu-HU"/>
                              </w:rPr>
                              <w:t xml:space="preserve">Zenta község 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2020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i/>
                                <w:sz w:val="24"/>
                                <w:szCs w:val="24"/>
                                <w:lang w:val="hu-HU"/>
                              </w:rPr>
                              <w:t>A foglalkoztatottak  teljes száma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6,990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6,732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6,795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7,350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7,591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7,780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i/>
                                <w:sz w:val="24"/>
                                <w:szCs w:val="24"/>
                                <w:lang w:val="hu-HU"/>
                              </w:rPr>
                              <w:t xml:space="preserve">A foglalkoztatottak száma gazdasági  társaságokban 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5,601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5,337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5,396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5,980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6,258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6,475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i/>
                                <w:sz w:val="24"/>
                                <w:szCs w:val="24"/>
                                <w:lang w:val="hu-HU"/>
                              </w:rPr>
                              <w:t xml:space="preserve">A foglalkoztatottak száma vállalkozóknál 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825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839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848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836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i/>
                                <w:sz w:val="24"/>
                                <w:szCs w:val="24"/>
                                <w:lang w:val="hu-HU"/>
                              </w:rPr>
                              <w:t>Az individuális   regisztrált mezőgazdászok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563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541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522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470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spacing w:before="12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2020-as év végén  a  Köztársasági   Statisztikai Intézet   adatai szerint  Zenta  község területén  7780 foglalkoztatott személy volt,  ami  a  teljes  populáció   35,97%-át teszi, ami   4%-kal  több, mint  a   köztársasági átlag.    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jc w:val="both"/>
        <w:rPr/>
      </w:pP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>Munkanélküliség</w:t>
      </w:r>
    </w:p>
    <w:p>
      <w:pPr>
        <w:pStyle w:val="Normal"/>
        <w:tabs>
          <w:tab w:val="left" w:pos="1905" w:leader="none"/>
        </w:tabs>
        <w:spacing w:before="0" w:after="12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cstheme="majorBidi" w:eastAsiaTheme="minorHAnsi" w:ascii="Times New Roman" w:hAnsi="Times New Roman"/>
          <w:sz w:val="24"/>
          <w:szCs w:val="24"/>
          <w:lang w:val="hu-HU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506210" cy="2216150"/>
                <wp:effectExtent l="0" t="0" r="0" b="0"/>
                <wp:wrapSquare wrapText="bothSides"/>
                <wp:docPr id="7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60" cy="22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245" w:type="dxa"/>
                              <w:jc w:val="left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568"/>
                              <w:gridCol w:w="1536"/>
                              <w:gridCol w:w="1533"/>
                              <w:gridCol w:w="1536"/>
                              <w:gridCol w:w="1536"/>
                              <w:gridCol w:w="1535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 xml:space="preserve">Zenta község 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E599" w:themeFill="accent4" w:themeFillTint="66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hu-HU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>A munkanélküliek teljes számna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1019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1240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1171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940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>Munkanélküli személy 1000 lakosra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5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76" w:before="0" w:after="20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 w:asciiTheme="majorBidi" w:cstheme="majorBidi" w:hAnsiTheme="majorBidi"/>
                                      <w:i/>
                                      <w:sz w:val="24"/>
                                      <w:szCs w:val="24"/>
                                      <w:lang w:val="hu-HU"/>
                                    </w:rPr>
                                    <w:t>Munkanélküli nők % a munkanélküliekhez viszonyítva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46.0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45.6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45.6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47.9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Calibri" w:cs="Times New Roman" w:ascii="Times New Roman" w:hAnsi="Times New Roman" w:asciiTheme="majorBidi" w:cstheme="majorBidi" w:hAnsiTheme="majorBidi"/>
                                      <w:color w:val="000000"/>
                                      <w:sz w:val="24"/>
                                      <w:szCs w:val="24"/>
                                      <w:lang w:val="hu-HU"/>
                                    </w:rPr>
                                    <w:t>49.6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stroked="f" style="position:absolute;margin-left:-5.65pt;margin-top:0.05pt;width:512.2pt;height:174.4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245" w:type="dxa"/>
                        <w:jc w:val="left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568"/>
                        <w:gridCol w:w="1536"/>
                        <w:gridCol w:w="1533"/>
                        <w:gridCol w:w="1536"/>
                        <w:gridCol w:w="1536"/>
                        <w:gridCol w:w="1535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val="hu-HU"/>
                              </w:rPr>
                              <w:t xml:space="preserve">Zenta község 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E599" w:themeFill="accent4" w:themeFillTint="66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2019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i/>
                                <w:sz w:val="24"/>
                                <w:szCs w:val="24"/>
                                <w:lang w:val="hu-HU"/>
                              </w:rPr>
                              <w:t>A munkanélküliek teljes számna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1019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1240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1171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940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i/>
                                <w:sz w:val="24"/>
                                <w:szCs w:val="24"/>
                                <w:lang w:val="hu-HU"/>
                              </w:rPr>
                              <w:t>Munkanélküli személy 1000 lakosra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397" w:hRule="atLeast"/>
                        </w:trPr>
                        <w:tc>
                          <w:tcPr>
                            <w:tcW w:w="25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 w:asciiTheme="majorBidi" w:cstheme="majorBidi" w:hAnsiTheme="majorBidi"/>
                                <w:i/>
                                <w:sz w:val="24"/>
                                <w:szCs w:val="24"/>
                                <w:lang w:val="hu-HU"/>
                              </w:rPr>
                              <w:t>Munkanélküli nők % a munkanélküliekhez viszonyítva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46.0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45.6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45.6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47.9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eastAsia="Calibri" w:cs="Times New Roman" w:ascii="Times New Roman" w:hAnsi="Times New Roman" w:asciiTheme="majorBidi" w:cstheme="majorBidi" w:hAnsiTheme="majorBidi"/>
                                <w:color w:val="000000"/>
                                <w:sz w:val="24"/>
                                <w:szCs w:val="24"/>
                                <w:lang w:val="hu-HU"/>
                              </w:rPr>
                              <w:t>49.6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905" w:leader="none"/>
        </w:tabs>
        <w:spacing w:before="0" w:after="12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cstheme="majorBidi" w:eastAsiaTheme="minorHAnsi" w:ascii="Times New Roman" w:hAnsi="Times New Roman"/>
          <w:sz w:val="24"/>
          <w:szCs w:val="24"/>
          <w:lang w:val="hu-HU"/>
        </w:rPr>
      </w:r>
    </w:p>
    <w:p>
      <w:pPr>
        <w:pStyle w:val="Normal"/>
        <w:tabs>
          <w:tab w:val="left" w:pos="1905" w:leader="none"/>
        </w:tabs>
        <w:spacing w:before="0" w:after="12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cstheme="majorBidi" w:eastAsiaTheme="minorHAnsi" w:ascii="Times New Roman" w:hAnsi="Times New Roman"/>
          <w:sz w:val="24"/>
          <w:szCs w:val="24"/>
          <w:lang w:val="hu-HU"/>
        </w:rPr>
      </w:r>
    </w:p>
    <w:p>
      <w:pPr>
        <w:pStyle w:val="Normal"/>
        <w:tabs>
          <w:tab w:val="left" w:pos="1905" w:leader="none"/>
        </w:tabs>
        <w:spacing w:before="0" w:after="12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cstheme="majorBidi" w:eastAsiaTheme="minorHAnsi" w:ascii="Times New Roman" w:hAnsi="Times New Roman"/>
          <w:sz w:val="24"/>
          <w:szCs w:val="24"/>
          <w:lang w:val="hu-HU"/>
        </w:rPr>
      </w:r>
    </w:p>
    <w:p>
      <w:pPr>
        <w:pStyle w:val="Normal"/>
        <w:tabs>
          <w:tab w:val="left" w:pos="1905" w:leader="none"/>
        </w:tabs>
        <w:spacing w:before="0" w:after="12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cstheme="majorBidi" w:eastAsiaTheme="minorHAnsi" w:ascii="Times New Roman" w:hAnsi="Times New Roman"/>
          <w:sz w:val="24"/>
          <w:szCs w:val="24"/>
          <w:lang w:val="hu-HU"/>
        </w:rPr>
      </w:r>
    </w:p>
    <w:p>
      <w:pPr>
        <w:pStyle w:val="Normal"/>
        <w:tabs>
          <w:tab w:val="left" w:pos="1905" w:leader="none"/>
        </w:tabs>
        <w:spacing w:before="0" w:after="12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cstheme="majorBidi" w:eastAsiaTheme="minorHAnsi" w:ascii="Times New Roman" w:hAnsi="Times New Roman"/>
          <w:sz w:val="24"/>
          <w:szCs w:val="24"/>
          <w:lang w:val="hu-HU"/>
        </w:rPr>
      </w:r>
    </w:p>
    <w:p>
      <w:pPr>
        <w:pStyle w:val="Normal"/>
        <w:tabs>
          <w:tab w:val="left" w:pos="1905" w:leader="none"/>
        </w:tabs>
        <w:spacing w:before="0" w:after="120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cstheme="majorBidi" w:eastAsiaTheme="minorHAnsi" w:ascii="Times New Roman" w:hAnsi="Times New Roman"/>
          <w:sz w:val="24"/>
          <w:szCs w:val="24"/>
          <w:lang w:val="hu-HU"/>
        </w:rPr>
      </w:r>
    </w:p>
    <w:p>
      <w:pPr>
        <w:pStyle w:val="Normal"/>
        <w:tabs>
          <w:tab w:val="left" w:pos="1905" w:leader="none"/>
        </w:tabs>
        <w:spacing w:before="0" w:after="120"/>
        <w:jc w:val="both"/>
        <w:rPr/>
      </w:pPr>
      <w:r>
        <w:rPr>
          <w:rFonts w:eastAsia="Calibri" w:cs="Times New Roman" w:ascii="Times New Roman" w:hAnsi="Times New Roman" w:asciiTheme="majorBidi" w:cstheme="majorBidi" w:eastAsiaTheme="minorHAnsi" w:hAnsiTheme="majorBidi"/>
          <w:sz w:val="24"/>
          <w:szCs w:val="24"/>
          <w:lang w:val="hu-HU"/>
        </w:rPr>
        <w:t xml:space="preserve">A 2019-es év végén a Nemzeti Foglalkoztatási Hivatal adatai szerint  a regisztrált munkanélküliek  nyilvántartásában    Zenta község területén 940 személy volt, ami a teljes populáció  4,35%-át teszi, akik közül  466 nő volt, ami  49,6%-ot tesz  a NFH nyilvántartásában a munkanélküliek teljes számához viszonyítva.   Ami  a regisztrált munkanélküli személyek oktatási szerkezetét illeti a NFH nyilvántartásában legtöbb a szakképzetlen személy, 65,8% és   a  regisztrált   munkanélküli személyek  III. és IV. szakképzettségi fokozattal,  29,4%, míg  a  főiskolai vagy   felsőoktatási  szakmai  képzettséggel 4,8%-uk. 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spacing w:before="120" w:after="120"/>
        <w:rPr>
          <w:rFonts w:ascii="Times New Roman" w:hAnsi="Times New Roman" w:cs="Times New Roman" w:asciiTheme="majorBidi" w:cstheme="majorBidi" w:hAnsiTheme="majorBidi"/>
          <w:i/>
          <w:i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/>
          <w:iCs/>
          <w:sz w:val="24"/>
          <w:szCs w:val="24"/>
          <w:lang w:val="hu-HU"/>
        </w:rPr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spacing w:before="120" w:after="120"/>
        <w:rPr/>
      </w:pPr>
      <w:r>
        <w:rPr>
          <w:rFonts w:cs="Times New Roman" w:ascii="Times New Roman" w:hAnsi="Times New Roman" w:asciiTheme="majorBidi" w:cstheme="majorBidi" w:hAnsiTheme="majorBidi"/>
          <w:i/>
          <w:iCs/>
          <w:sz w:val="24"/>
          <w:szCs w:val="24"/>
          <w:lang w:val="hu-HU"/>
        </w:rPr>
        <w:t>Keresetek</w:t>
      </w:r>
    </w:p>
    <w:p>
      <w:pPr>
        <w:pStyle w:val="Normal"/>
        <w:jc w:val="both"/>
        <w:rPr>
          <w:rFonts w:ascii="Times New Roman" w:hAnsi="Times New Roman" w:eastAsia="Calibri" w:cs="Times New Roman" w:asciiTheme="majorBidi" w:cstheme="majorBidi" w:eastAsiaTheme="minorHAnsi" w:hAnsiTheme="majorBidi"/>
          <w:sz w:val="24"/>
          <w:szCs w:val="24"/>
          <w:lang w:val="hu-HU"/>
        </w:rPr>
      </w:pPr>
      <w:r>
        <w:rPr>
          <w:rFonts w:eastAsia="Calibri" w:cs="Times New Roman" w:ascii="Times New Roman" w:hAnsi="Times New Roman" w:asciiTheme="majorBidi" w:cstheme="majorBidi" w:eastAsiaTheme="minorHAnsi" w:hAnsiTheme="majorBidi"/>
          <w:sz w:val="24"/>
          <w:szCs w:val="24"/>
          <w:lang w:val="hu-HU"/>
        </w:rPr>
        <w:t xml:space="preserve">A Köztársasági Statisztikai Intézet adatai  szerint Zenta község  a rangsorolt községek és  városok  között a  69. helyen  van (összesen  175 közül) az átlagos nettó  kereset mértékét illetően a 2018-as évben (utolsó elérhető adat), és  a  községek csoportjába tartozik,  amelyek   ezen mutató szerint   a  községek csoportjában   80-100% közötti értékkel van a  köztársasági átlaghoz viszonyítva. 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/>
          <w:sz w:val="24"/>
          <w:szCs w:val="24"/>
          <w:lang w:val="hu-HU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2.5 </w:t>
      </w: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>Egészség- és szociális védelem</w:t>
      </w:r>
    </w:p>
    <w:p>
      <w:pPr>
        <w:pStyle w:val="Normal"/>
        <w:tabs>
          <w:tab w:val="left" w:pos="120" w:leader="none"/>
          <w:tab w:val="right" w:pos="9120" w:leader="dot"/>
        </w:tabs>
        <w:spacing w:before="0" w:after="120"/>
        <w:rPr>
          <w:rFonts w:ascii="Times New Roman" w:hAnsi="Times New Roman" w:cs="Times New Roman" w:asciiTheme="majorBidi" w:cstheme="majorBidi" w:hAnsiTheme="majorBidi"/>
          <w:bCs/>
          <w:i/>
          <w:i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>Egészségvédelem</w:t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Zenta községben   az egészségügyi intézményeket a következők teszik: Kórház és Egészségház. </w:t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lang w:val="hu-HU"/>
        </w:rPr>
        <w:t xml:space="preserve">A kórház keretében  az alábbi osztályok találhatóak: belgyógyászat, sebészet, rehabilitáció, ideg- és elmegyógyászat,  gyermekosztály,   mellkasi osztály,  nőgyógyászat és szülészet és az orr-fül-gége osztály  és  a  kórházi  rendelők: az RTG szoltáltat,  a szemészeti  rendelő,   a laboratórium, a transzfúzió,  a mikrobiológia, az ultrahangos diagnosztika és  a patológia. 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jc w:val="both"/>
        <w:rPr>
          <w:rFonts w:ascii="Times New Roman" w:hAnsi="Times New Roman" w:cs="Times New Roman" w:asciiTheme="majorBidi" w:cstheme="majorBidi" w:hAnsiTheme="majorBidi"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sz w:val="24"/>
          <w:szCs w:val="24"/>
          <w:lang w:val="hu-HU"/>
        </w:rPr>
        <w:t xml:space="preserve">A Zentai Egészségház felöleli: az I. egészségügyi állomást, a II. egészségügyi állomást,  a felsőhegyi egészségügyi állomást,  a  tornyosi  egészségügyi állomást,  a kevi egészségügyi állomást,  a bogarasi egészségügyi állomást.  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jc w:val="center"/>
        <w:rPr>
          <w:rFonts w:ascii="Times New Roman" w:hAnsi="Times New Roman" w:cs="Times New Roman" w:asciiTheme="majorBidi" w:cstheme="majorBidi" w:hAnsiTheme="majorBidi"/>
          <w:bCs/>
          <w:i/>
          <w:i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>Az orvosok száma 1000 lakosra  - a  gyermekek  egészségvédelme,  az iskoláskorú gyermekek és  fiatalok egészségvédelme,   a  felnőtt lakosság egészségvédelme,   a  nők egészségvédelme  - a környező  községekhez és a köztársasági és   tartományi átlaghoz viszonyítva – 2019-es év</w:t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/>
        <w:drawing>
          <wp:inline distT="0" distB="0" distL="0" distR="0">
            <wp:extent cx="5050155" cy="270002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lang w:val="hu-HU"/>
        </w:rPr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jc w:val="center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/>
        <w:drawing>
          <wp:inline distT="0" distB="0" distL="0" distR="0">
            <wp:extent cx="5050155" cy="2700020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u w:val="single"/>
          <w:lang w:val="hu-HU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u w:val="single"/>
          <w:lang w:val="hu-HU"/>
        </w:rPr>
      </w:pPr>
      <w:r>
        <w:rPr>
          <w:rFonts w:cs="Times New Roman" w:cstheme="majorBidi" w:ascii="Times New Roman" w:hAnsi="Times New Roman"/>
          <w:sz w:val="24"/>
          <w:szCs w:val="24"/>
          <w:u w:val="single"/>
          <w:lang w:val="hu-HU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i/>
          <w:i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/>
          <w:iCs/>
          <w:sz w:val="24"/>
          <w:szCs w:val="24"/>
          <w:lang w:val="hu-HU"/>
        </w:rPr>
        <w:t xml:space="preserve">Szociális védelem </w:t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sz w:val="24"/>
          <w:szCs w:val="24"/>
          <w:u w:val="single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  <w:u w:val="single"/>
          <w:lang w:val="hu-HU"/>
        </w:rPr>
        <w:t xml:space="preserve">Zenta község Szociális Védelmi Központja </w:t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szociális  védelmi teendőkre  Zenta községben   intézményesen  a zentai Szociális Védelmi Központ   rendelkezik hatáskörrel, amely  1977. november 24-én alapult a Zentai Községi Képviselő-testület rendeletével,  A zentai Szociális Védelmi Központ ellátja  a teendőket, amelyeket a hatáskörébe rendeltek  a családjogi törvénnyel,  a  büntetőeljárásról szóló törvénnyel,   a Szerb Köztársaság büntetőtörvénykönyvével,  az alapvető  büntetőtörvénnyel,   a menekültekről szóló  törvénnyel és   a  menekültek  ellátásáról szóló Kormányrendelettel,   valamint  a teendőket, amelyekkel   Zenta község bízza meg. </w:t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Cs/>
          <w:sz w:val="24"/>
          <w:szCs w:val="24"/>
          <w:lang w:val="hu-HU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Cs/>
          <w:sz w:val="24"/>
          <w:szCs w:val="24"/>
          <w:lang w:val="hu-HU"/>
        </w:rPr>
      </w:r>
    </w:p>
    <w:tbl>
      <w:tblPr>
        <w:tblW w:w="1031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59"/>
        <w:gridCol w:w="1303"/>
        <w:gridCol w:w="1329"/>
        <w:gridCol w:w="1805"/>
        <w:gridCol w:w="1315"/>
      </w:tblGrid>
      <w:tr>
        <w:trPr>
          <w:trHeight w:val="38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i/>
                <w:i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i/>
                <w:sz w:val="24"/>
                <w:szCs w:val="24"/>
                <w:lang w:val="hu-HU"/>
              </w:rPr>
              <w:t>2019-es év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  <w:lang w:val="hu-HU"/>
              </w:rPr>
              <w:t>Zenta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  <w:lang w:val="hu-HU"/>
              </w:rPr>
              <w:t>Topolya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  <w:lang w:val="hu-HU"/>
              </w:rPr>
              <w:t>Magyarkanizsa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E599" w:themeFill="accent4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4"/>
                <w:szCs w:val="24"/>
                <w:lang w:val="hu-HU"/>
              </w:rPr>
              <w:t xml:space="preserve">Óbecse 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eastAsia="Calibri"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 xml:space="preserve">A szociális védelem használóinak száma a SZVK nyilvántartásában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2330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3524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2924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4409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 xml:space="preserve">A szakemberek száma a SZVK-ban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 pénzbeli szociális segély használóinak száma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605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804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529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1104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Az alapfokú pótlék   használóinak száma   más személy ápolására és támogatására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31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103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55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84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 megnövelt pótlék használóinak száma  más személy ápolására és támogatására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124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194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113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227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 családi pótlék használóinak   száma (0-17 éves korig)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363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602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539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1042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 xml:space="preserve">A megnövelt családi pótlék használóinak száma (0-17 éves korig)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536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331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240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678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 nőkkel szembeni családon belüli erőszak  bejelentett  eseteinek száma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27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45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112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 xml:space="preserve">A gyermekekkel szembeni családon belüli erőszak bejelentett eseteinek száma  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16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28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Az állami otthonok használóinak száma idős személyek elhelyezésére (65+ éves kor)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33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16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37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79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 gyermekek százaléka, akik  az elhelyezési szolgáltatást   használják (0-17 éves korig)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17.27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6.69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13.95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9.09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 gyermekek százaléka, akik nevelővsaládokban vannak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17.27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6.69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13.16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8.78</w:t>
            </w:r>
          </w:p>
        </w:tc>
      </w:tr>
      <w:tr>
        <w:trPr>
          <w:trHeight w:val="275" w:hRule="atLeast"/>
        </w:trPr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iCs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Cs/>
                <w:i/>
                <w:iCs/>
                <w:sz w:val="24"/>
                <w:szCs w:val="24"/>
                <w:lang w:val="hu-HU"/>
              </w:rPr>
              <w:t>A törvénnyel összeütközésben levő  gyermekek százaléka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b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color w:val="000000"/>
                <w:sz w:val="24"/>
                <w:szCs w:val="24"/>
                <w:lang w:val="hu-HU"/>
              </w:rPr>
              <w:t>31.08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18.48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14.74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color w:val="000000"/>
                <w:sz w:val="24"/>
                <w:szCs w:val="24"/>
                <w:lang w:val="hu-HU"/>
              </w:rPr>
              <w:t>21.28</w:t>
            </w:r>
          </w:p>
        </w:tc>
      </w:tr>
    </w:tbl>
    <w:p>
      <w:pPr>
        <w:pStyle w:val="Normal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i/>
          <w:sz w:val="24"/>
          <w:szCs w:val="24"/>
          <w:lang w:val="hu-HU"/>
        </w:rPr>
      </w:r>
    </w:p>
    <w:p>
      <w:pPr>
        <w:pStyle w:val="Normal"/>
        <w:tabs>
          <w:tab w:val="left" w:pos="120" w:leader="none"/>
          <w:tab w:val="right" w:pos="9120" w:leader="dot"/>
        </w:tabs>
        <w:spacing w:before="0" w:after="120"/>
        <w:rPr>
          <w:rFonts w:ascii="Times New Roman" w:hAnsi="Times New Roman" w:cs="Times New Roman" w:asciiTheme="majorBidi" w:cstheme="majorBidi" w:hAnsiTheme="majorBidi"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sz w:val="24"/>
          <w:szCs w:val="24"/>
          <w:lang w:val="hu-HU"/>
        </w:rPr>
        <w:t xml:space="preserve">Zenta községben a  szociális védelem használóinak részesedése  a  teljes lakosság számához viszonyítva  a tartományi átlag alatt van, és  valamivel magasabb a köztársasági átlagnál, míg a szomszédos községekhez viszonyítva ez a  százalék a legalacsonyabb. </w:t>
      </w:r>
    </w:p>
    <w:p>
      <w:pPr>
        <w:pStyle w:val="Normal"/>
        <w:tabs>
          <w:tab w:val="left" w:pos="120" w:leader="none"/>
          <w:tab w:val="right" w:pos="9120" w:leader="dot"/>
        </w:tabs>
        <w:spacing w:before="0" w:after="120"/>
        <w:rPr>
          <w:rFonts w:ascii="Times New Roman" w:hAnsi="Times New Roman" w:cs="Times New Roman" w:asciiTheme="majorBidi" w:cstheme="majorBidi" w:hAnsiTheme="majorBidi"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sz w:val="24"/>
          <w:szCs w:val="24"/>
          <w:lang w:val="hu-HU"/>
        </w:rPr>
        <w:t xml:space="preserve">Ami   a  gyermekek százalékát illeti, akik   használják az  elhelyezési szolgáltatást, és  akik   nevelőcsaládokban vannak, a  százalék éréke   kb. 2,5-ször magasabb a tartományi és háromszor  magasabb a  köztársasági átlagnál, míg ezek   a  megfigyelt községekhez viszonyítva úgyszintén  jelentősen magasabbak. </w:t>
      </w:r>
    </w:p>
    <w:p>
      <w:pPr>
        <w:pStyle w:val="Normal"/>
        <w:tabs>
          <w:tab w:val="left" w:pos="120" w:leader="none"/>
          <w:tab w:val="right" w:pos="9120" w:leader="dot"/>
        </w:tabs>
        <w:spacing w:before="0" w:after="120"/>
        <w:rPr>
          <w:rFonts w:ascii="Times New Roman" w:hAnsi="Times New Roman" w:cs="Times New Roman" w:asciiTheme="majorBidi" w:cstheme="majorBidi" w:hAnsiTheme="majorBidi"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sz w:val="24"/>
          <w:szCs w:val="24"/>
          <w:lang w:val="hu-HU"/>
        </w:rPr>
        <w:t xml:space="preserve">A gyermekek százaléka, akik összeütközésben vannak a törvénnyel Zenta községben a  2019-es évben nagyon  magas (31,08),  és mint ilyen kb. háromszor magasabb a  tartományi és a köztársasági átlagnál, míg ennek  százaléka   a  megfigyelt községekhez  viszonyítva úgyszintén jelentősen magasabb, pl. a szomszédos Magyarkanizsa községhez viszonyítva dupla. </w:t>
      </w:r>
    </w:p>
    <w:p>
      <w:pPr>
        <w:pStyle w:val="Normal"/>
        <w:tabs>
          <w:tab w:val="left" w:pos="120" w:leader="none"/>
          <w:tab w:val="right" w:pos="9120" w:leader="dot"/>
        </w:tabs>
        <w:spacing w:before="0" w:after="120"/>
        <w:rPr>
          <w:rFonts w:ascii="Times New Roman" w:hAnsi="Times New Roman" w:cs="Times New Roman" w:asciiTheme="majorBidi" w:cstheme="majorBidi" w:hAnsiTheme="majorBidi"/>
          <w:bCs/>
          <w:i/>
          <w:i/>
          <w:iCs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bCs/>
          <w:i/>
          <w:iCs/>
          <w:sz w:val="24"/>
          <w:szCs w:val="24"/>
          <w:lang w:val="hu-HU"/>
        </w:rPr>
      </w:r>
    </w:p>
    <w:p>
      <w:pPr>
        <w:pStyle w:val="Normal"/>
        <w:tabs>
          <w:tab w:val="left" w:pos="120" w:leader="none"/>
          <w:tab w:val="right" w:pos="9120" w:leader="dot"/>
        </w:tabs>
        <w:spacing w:before="0" w:after="120"/>
        <w:rPr>
          <w:rFonts w:ascii="Times New Roman" w:hAnsi="Times New Roman" w:cs="Times New Roman" w:asciiTheme="majorBidi" w:cstheme="majorBidi" w:hAnsiTheme="majorBidi"/>
          <w:b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bCs/>
          <w:i/>
          <w:iCs/>
          <w:sz w:val="24"/>
          <w:szCs w:val="24"/>
          <w:lang w:val="hu-HU"/>
        </w:rPr>
        <w:t>Igazságügy/biztonság: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spacing w:before="120" w:after="200"/>
        <w:jc w:val="both"/>
        <w:rPr>
          <w:rFonts w:ascii="Times New Roman" w:hAnsi="Times New Roman" w:cs="Times New Roman" w:asciiTheme="majorBidi" w:cstheme="majorBidi" w:hAnsiTheme="majorBidi"/>
          <w:iCs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Cs/>
          <w:sz w:val="24"/>
          <w:szCs w:val="24"/>
          <w:lang w:val="hu-HU"/>
        </w:rPr>
        <w:t xml:space="preserve">A következő  diagramon bemutatásra került   a  fiatalkorú bűncselekmény elkövetők részesedése, akikkel szemben  büntetőintézkedéseket  mondtak ki az elkövetés helye   szerint,   a  fiatalkorú lakosság   teljes  számához viszonyítva,  ahol látható,  hogy az értékek jelentősen  a  köztársasági és   tartományi átlag felett  vannak, és  úgyszintén  a  környékbeli megfigyelt  községekhez viszonyítva. </w:t>
      </w:r>
    </w:p>
    <w:p>
      <w:pPr>
        <w:pStyle w:val="Normal"/>
        <w:tabs>
          <w:tab w:val="left" w:pos="120" w:leader="none"/>
          <w:tab w:val="left" w:pos="540" w:leader="none"/>
          <w:tab w:val="right" w:pos="9120" w:leader="dot"/>
        </w:tabs>
        <w:spacing w:before="120" w:after="200"/>
        <w:jc w:val="center"/>
        <w:rPr>
          <w:rFonts w:ascii="Times New Roman" w:hAnsi="Times New Roman" w:cs="Times New Roman" w:asciiTheme="majorBidi" w:cstheme="majorBidi" w:hAnsiTheme="majorBidi"/>
          <w:i/>
          <w:i/>
          <w:sz w:val="24"/>
          <w:szCs w:val="24"/>
          <w:lang w:val="hu-HU"/>
        </w:rPr>
      </w:pPr>
      <w:r>
        <w:rPr>
          <w:rFonts w:cs="Times New Roman" w:ascii="Times New Roman" w:hAnsi="Times New Roman" w:asciiTheme="majorBidi" w:cstheme="majorBidi" w:hAnsiTheme="majorBidi"/>
          <w:i/>
          <w:sz w:val="24"/>
          <w:szCs w:val="24"/>
          <w:lang w:val="hu-HU"/>
        </w:rPr>
        <w:t>A fiatalkorú bűncselekmény elkövetők -(14-17 éves  korig) részesedése, akikel szemben büntetőintézkedéseket mondtak  ki az elkövetés helye szerint,  a  teljes fiatalkorú lakosság számához viszonyítva (%), és a  környező   községekehez  és  a köztársasági és  tartományi átlaghoz viszonyítva – 2019-es év</w:t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/>
        <w:drawing>
          <wp:inline distT="0" distB="0" distL="0" distR="0">
            <wp:extent cx="4713605" cy="2520315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/>
        <w:jc w:val="center"/>
        <w:rPr>
          <w:rStyle w:val="Markedcontent"/>
          <w:rFonts w:ascii="Times New Roman" w:hAnsi="Times New Roman" w:cs="Times New Roman" w:asciiTheme="majorBidi" w:cstheme="majorBidi" w:hAnsiTheme="majorBidi"/>
          <w:color w:val="FF0000"/>
          <w:sz w:val="24"/>
          <w:szCs w:val="24"/>
          <w:lang w:val="hu-HU"/>
        </w:rPr>
      </w:pPr>
      <w:r>
        <w:rPr>
          <w:rFonts w:cs="Times New Roman" w:cstheme="majorBidi" w:ascii="Times New Roman" w:hAnsi="Times New Roman"/>
          <w:color w:val="FF0000"/>
          <w:sz w:val="24"/>
          <w:szCs w:val="24"/>
          <w:lang w:val="hu-HU"/>
        </w:rPr>
      </w:r>
    </w:p>
    <w:p>
      <w:pPr>
        <w:pStyle w:val="ListParagraph"/>
        <w:spacing w:lineRule="auto" w:line="240" w:before="0" w:after="200"/>
        <w:contextualSpacing/>
        <w:jc w:val="center"/>
        <w:rPr/>
      </w:pPr>
      <w:r>
        <w:rPr/>
      </w:r>
    </w:p>
    <w:sectPr>
      <w:type w:val="nextPage"/>
      <w:pgSz w:w="12240" w:h="15840"/>
      <w:pgMar w:left="720" w:right="720" w:header="0" w:top="83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24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sr-Latn-C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0c5b6c"/>
    <w:rPr>
      <w:rFonts w:eastAsia="Times New Roman" w:cs="Times New Roman"/>
    </w:rPr>
  </w:style>
  <w:style w:type="character" w:styleId="ListLabel2" w:customStyle="1">
    <w:name w:val="ListLabel 2"/>
    <w:qFormat/>
    <w:rsid w:val="000c5b6c"/>
    <w:rPr>
      <w:rFonts w:cs="Courier New"/>
    </w:rPr>
  </w:style>
  <w:style w:type="character" w:styleId="ListLabel3" w:customStyle="1">
    <w:name w:val="ListLabel 3"/>
    <w:qFormat/>
    <w:rsid w:val="000c5b6c"/>
    <w:rPr>
      <w:rFonts w:cs="Courier New"/>
    </w:rPr>
  </w:style>
  <w:style w:type="character" w:styleId="ListLabel4" w:customStyle="1">
    <w:name w:val="ListLabel 4"/>
    <w:qFormat/>
    <w:rsid w:val="000c5b6c"/>
    <w:rPr>
      <w:rFonts w:cs="Courier New"/>
    </w:rPr>
  </w:style>
  <w:style w:type="character" w:styleId="Markedcontent" w:customStyle="1">
    <w:name w:val="markedcontent"/>
    <w:basedOn w:val="DefaultParagraphFont"/>
    <w:qFormat/>
    <w:rsid w:val="00d0656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c2850"/>
    <w:rPr>
      <w:rFonts w:ascii="Tahoma" w:hAnsi="Tahoma" w:eastAsia="Times New Roman" w:cs="Tahoma"/>
      <w:sz w:val="16"/>
      <w:szCs w:val="16"/>
      <w:lang w:val="sr-Latn-CS"/>
    </w:rPr>
  </w:style>
  <w:style w:type="character" w:styleId="Footnotereference">
    <w:name w:val="footnote reference"/>
    <w:basedOn w:val="DefaultParagraphFont"/>
    <w:uiPriority w:val="99"/>
    <w:semiHidden/>
    <w:qFormat/>
    <w:rsid w:val="007c5393"/>
    <w:rPr>
      <w:vertAlign w:val="superscript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rsid w:val="000c5b6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0c5b6c"/>
    <w:pPr>
      <w:spacing w:lineRule="auto" w:line="288" w:before="0" w:after="140"/>
    </w:pPr>
    <w:rPr/>
  </w:style>
  <w:style w:type="paragraph" w:styleId="List">
    <w:name w:val="List"/>
    <w:basedOn w:val="TextBody"/>
    <w:rsid w:val="000c5b6c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c5b6c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0c5b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99"/>
    <w:qFormat/>
    <w:rsid w:val="00703cd9"/>
    <w:pPr>
      <w:widowControl/>
      <w:bidi w:val="0"/>
      <w:spacing w:lineRule="auto" w:line="240"/>
      <w:jc w:val="both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1114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28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qFormat/>
    <w:rsid w:val="007c5393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val="en-US" w:eastAsia="hi-IN" w:bidi="hi-I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36244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1">
    <w:name w:val="Grid Table 5 Dark - Accent 31"/>
    <w:basedOn w:val="TableNormal"/>
    <w:uiPriority w:val="50"/>
    <w:rsid w:val="007c5393"/>
    <w:pPr>
      <w:spacing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hart" Target="charts/chart1.xml"/><Relationship Id="rId4" Type="http://schemas.openxmlformats.org/officeDocument/2006/relationships/chart" Target="charts/chart2.xml"/><Relationship Id="rId5" Type="http://schemas.openxmlformats.org/officeDocument/2006/relationships/chart" Target="charts/chart3.xml"/><Relationship Id="rId6" Type="http://schemas.openxmlformats.org/officeDocument/2006/relationships/chart" Target="charts/chart4.xml"/><Relationship Id="rId7" Type="http://schemas.openxmlformats.org/officeDocument/2006/relationships/chart" Target="charts/chart5.xml"/><Relationship Id="rId8" Type="http://schemas.openxmlformats.org/officeDocument/2006/relationships/chart" Target="charts/chart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Office_Excel_Worksheet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Office_Excel_Worksheet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Office_Excel_Worksheet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Office_Excel_Worksheet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Office_Excel_Worksheet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Microsoft_Office_Excel_Worksheet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i="1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 Light"/>
                <a:ea typeface="Cambria Math"/>
              </a:defRPr>
            </a:pPr>
            <a:r>
              <a:rPr b="0" i="1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 Light"/>
                <a:ea typeface="Cambria Math"/>
              </a:rPr>
              <a:t>Zenta község  lakosainak  becsült száma 2013-tól  2019-ig </a:t>
            </a:r>
          </a:p>
        </c:rich>
      </c:tx>
      <c:overlay val="0"/>
    </c:title>
    <c:autoTitleDeleted val="0"/>
    <c:plotArea>
      <c:lineChart>
        <c:grouping val="standard"/>
        <c:ser>
          <c:idx val="0"/>
          <c:order val="0"/>
          <c:tx>
            <c:strRef>
              <c:f>label 0</c:f>
              <c:strCache>
                <c:ptCount val="1"/>
                <c:pt idx="0">
                  <c:v>Процењен број становника</c:v>
                </c:pt>
              </c:strCache>
            </c:strRef>
          </c:tx>
          <c:spPr>
            <a:solidFill>
              <a:srgbClr val="ed7d31"/>
            </a:solidFill>
            <a:ln w="25560">
              <a:solidFill>
                <a:srgbClr val="ed7d31"/>
              </a:solidFill>
              <a:round/>
            </a:ln>
          </c:spPr>
          <c:marker>
            <c:symbol val="square"/>
            <c:size val="5"/>
            <c:spPr>
              <a:solidFill>
                <a:srgbClr val="ed7d31"/>
              </a:solidFill>
            </c:spPr>
          </c:marker>
          <c:dLbls>
            <c:dLbl>
              <c:idx val="0"/>
              <c:spPr>
                <a:ln w="12600">
                  <a:solidFill>
                    <a:srgbClr val="ED7D31"/>
                  </a:solidFill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pPr>
                <a:ln w="12600">
                  <a:solidFill>
                    <a:srgbClr val="ED7D31"/>
                  </a:solidFill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pPr>
                <a:ln w="12600">
                  <a:solidFill>
                    <a:srgbClr val="ED7D31"/>
                  </a:solidFill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spPr>
                <a:ln w="12600">
                  <a:solidFill>
                    <a:srgbClr val="ED7D31"/>
                  </a:solidFill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spPr>
                <a:ln w="12600">
                  <a:solidFill>
                    <a:srgbClr val="ED7D31"/>
                  </a:solidFill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</c:dLbl>
            <c:dLbl>
              <c:idx val="5"/>
              <c:spPr>
                <a:ln w="12600">
                  <a:solidFill>
                    <a:srgbClr val="ED7D31"/>
                  </a:solidFill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spPr>
                <a:ln w="12600">
                  <a:solidFill>
                    <a:srgbClr val="ED7D31"/>
                  </a:solidFill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</c:dLbl>
            <c:spPr>
              <a:ln w="12600">
                <a:solidFill>
                  <a:srgbClr val="ED7D31"/>
                </a:solidFill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22933</c:v>
                </c:pt>
                <c:pt idx="1">
                  <c:v>22705</c:v>
                </c:pt>
                <c:pt idx="2">
                  <c:v>22490</c:v>
                </c:pt>
                <c:pt idx="3">
                  <c:v>22302</c:v>
                </c:pt>
                <c:pt idx="4">
                  <c:v>22100</c:v>
                </c:pt>
                <c:pt idx="5">
                  <c:v>21876</c:v>
                </c:pt>
                <c:pt idx="6">
                  <c:v>21630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55898009"/>
        <c:axId val="84299295"/>
      </c:lineChart>
      <c:catAx>
        <c:axId val="55898009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1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84299295"/>
        <c:crosses val="autoZero"/>
        <c:auto val="1"/>
        <c:lblAlgn val="ctr"/>
        <c:lblOffset val="100"/>
      </c:catAx>
      <c:valAx>
        <c:axId val="84299295"/>
        <c:scaling>
          <c:orientation val="minMax"/>
          <c:max val="24000"/>
          <c:min val="20000"/>
        </c:scaling>
        <c:delete val="0"/>
        <c:axPos val="l"/>
        <c:majorGridlines>
          <c:spPr>
            <a:ln w="6480">
              <a:solidFill>
                <a:srgbClr val="000000"/>
              </a:solidFill>
              <a:round/>
            </a:ln>
          </c:spPr>
        </c:majorGridlines>
        <c:numFmt formatCode="#,##0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1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55898009"/>
        <c:crosses val="autoZero"/>
        <c:crossBetween val="midCat"/>
        <c:majorUnit val="1000"/>
      </c:valAx>
      <c:spPr>
        <a:solidFill>
          <a:srgbClr val="ffffff"/>
        </a:solidFill>
        <a:ln w="25560">
          <a:noFill/>
        </a:ln>
      </c:spPr>
    </c:plotArea>
    <c:plotVisOnly val="1"/>
    <c:dispBlanksAs val="gap"/>
  </c:chart>
  <c:spPr>
    <a:solidFill>
      <a:srgbClr val="ffffff"/>
    </a:solidFill>
    <a:ln>
      <a:solidFill>
        <a:srgbClr val="ffffff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i="1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  <a:r>
              <a:rPr b="0" i="1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rPr>
              <a:t>A lakosság nemzetiségi szerkezete Zenta községben - népszámlálás 2011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Nacionalna struktura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1"/>
            <c:spPr>
              <a:solidFill>
                <a:srgbClr val="8497b0"/>
              </a:solidFill>
              <a:ln>
                <a:noFill/>
              </a:ln>
            </c:spPr>
          </c:dPt>
          <c:dPt>
            <c:idx val="2"/>
            <c:spPr>
              <a:solidFill>
                <a:srgbClr val="ffc000"/>
              </a:solidFill>
              <a:ln>
                <a:noFill/>
              </a:ln>
            </c:spPr>
          </c:dPt>
          <c:dPt>
            <c:idx val="3"/>
            <c:spPr>
              <a:solidFill>
                <a:srgbClr val="ed7d31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4"/>
                <c:pt idx="0">
                  <c:v>Mađari</c:v>
                </c:pt>
                <c:pt idx="1">
                  <c:v>Srbi</c:v>
                </c:pt>
                <c:pt idx="2">
                  <c:v>Romi</c:v>
                </c:pt>
                <c:pt idx="3">
                  <c:v>Ostali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18444</c:v>
                </c:pt>
                <c:pt idx="1">
                  <c:v>2533</c:v>
                </c:pt>
                <c:pt idx="2">
                  <c:v>595</c:v>
                </c:pt>
                <c:pt idx="3">
                  <c:v>1744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741625"/>
          <c:y val="0.0373333333333333"/>
        </c:manualLayout>
      </c:layout>
      <c:overlay val="0"/>
      <c:spPr>
        <a:solidFill>
          <a:srgbClr val="ffffff"/>
        </a:solidFill>
        <a:ln w="12600">
          <a:noFill/>
        </a:ln>
      </c:spPr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Bačka Topola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Deca_0─3 god. </c:v>
                </c:pt>
                <c:pt idx="1">
                  <c:v>Deca od 3 god.-PPP </c:v>
                </c:pt>
                <c:pt idx="2">
                  <c:v>Deca_PPP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16.7</c:v>
                </c:pt>
                <c:pt idx="1">
                  <c:v>86.2</c:v>
                </c:pt>
                <c:pt idx="2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Bečej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Deca_0─3 god. </c:v>
                </c:pt>
                <c:pt idx="1">
                  <c:v>Deca od 3 god.-PPP </c:v>
                </c:pt>
                <c:pt idx="2">
                  <c:v>Deca_PPP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21.3</c:v>
                </c:pt>
                <c:pt idx="1">
                  <c:v>65.9</c:v>
                </c:pt>
                <c:pt idx="2">
                  <c:v>89.9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Kanjiža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Deca_0─3 god. </c:v>
                </c:pt>
                <c:pt idx="1">
                  <c:v>Deca od 3 god.-PPP </c:v>
                </c:pt>
                <c:pt idx="2">
                  <c:v>Deca_PPP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13.4</c:v>
                </c:pt>
                <c:pt idx="1">
                  <c:v>64.6</c:v>
                </c:pt>
                <c:pt idx="2">
                  <c:v>98.4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Senta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Deca_0─3 god. </c:v>
                </c:pt>
                <c:pt idx="1">
                  <c:v>Deca od 3 god.-PPP </c:v>
                </c:pt>
                <c:pt idx="2">
                  <c:v>Deca_PPP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3"/>
                <c:pt idx="0">
                  <c:v>18</c:v>
                </c:pt>
                <c:pt idx="1">
                  <c:v>71</c:v>
                </c:pt>
                <c:pt idx="2">
                  <c:v>81.4</c:v>
                </c:pt>
              </c:numCache>
            </c:numRef>
          </c:val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RS</c:v>
                </c:pt>
              </c:strCache>
            </c:strRef>
          </c:tx>
          <c:spPr>
            <a:solidFill>
              <a:srgbClr val="44546a">
                <a:alpha val="75000"/>
              </a:srgbClr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Deca_0─3 god. </c:v>
                </c:pt>
                <c:pt idx="1">
                  <c:v>Deca od 3 god.-PPP </c:v>
                </c:pt>
                <c:pt idx="2">
                  <c:v>Deca_PPP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3"/>
                <c:pt idx="0">
                  <c:v>28.1</c:v>
                </c:pt>
                <c:pt idx="1">
                  <c:v>66.4</c:v>
                </c:pt>
                <c:pt idx="2">
                  <c:v>97.4</c:v>
                </c:pt>
              </c:numCache>
            </c:numRef>
          </c:val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APV</c:v>
                </c:pt>
              </c:strCache>
            </c:strRef>
          </c:tx>
          <c:spPr>
            <a:solidFill>
              <a:srgbClr val="ff7c5d"/>
            </a:solidFill>
            <a:ln>
              <a:noFill/>
            </a:ln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Deca_0─3 god. </c:v>
                </c:pt>
                <c:pt idx="1">
                  <c:v>Deca od 3 god.-PPP </c:v>
                </c:pt>
                <c:pt idx="2">
                  <c:v>Deca_PPP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3"/>
                <c:pt idx="0">
                  <c:v>27.6</c:v>
                </c:pt>
                <c:pt idx="1">
                  <c:v>71.6</c:v>
                </c:pt>
                <c:pt idx="2">
                  <c:v>100.6</c:v>
                </c:pt>
              </c:numCache>
            </c:numRef>
          </c:val>
        </c:ser>
        <c:gapWidth val="150"/>
        <c:overlap val="0"/>
        <c:axId val="65461275"/>
        <c:axId val="26840142"/>
      </c:barChart>
      <c:catAx>
        <c:axId val="65461275"/>
        <c:scaling>
          <c:orientation val="minMax"/>
        </c:scaling>
        <c:delete val="0"/>
        <c:axPos val="b"/>
        <c:numFmt formatCode="MM/DD/YYYY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0" sz="7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26840142"/>
        <c:crosses val="autoZero"/>
        <c:auto val="1"/>
        <c:lblAlgn val="ctr"/>
        <c:lblOffset val="100"/>
      </c:catAx>
      <c:valAx>
        <c:axId val="26840142"/>
        <c:scaling>
          <c:orientation val="minMax"/>
          <c:max val="120"/>
          <c:min val="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#,##0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5461275"/>
        <c:crosses val="autoZero"/>
        <c:crossBetween val="midCat"/>
        <c:majorUnit val="30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425"/>
          <c:y val="0.353888888888889"/>
        </c:manualLayout>
      </c:layout>
      <c:overlay val="0"/>
      <c:spPr>
        <a:noFill/>
        <a:ln>
          <a:noFill/>
        </a:ln>
      </c:spPr>
    </c:legend>
    <c:plotVisOnly val="1"/>
    <c:dispBlanksAs val="gap"/>
  </c:chart>
  <c:spPr>
    <a:noFill/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zdravstvena zaštita dece</c:v>
                </c:pt>
              </c:strCache>
            </c:strRef>
          </c:tx>
          <c:spPr>
            <a:solidFill>
              <a:srgbClr val="92d050"/>
            </a:solidFill>
            <a:ln w="9360">
              <a:noFill/>
            </a:ln>
          </c:spPr>
          <c:invertIfNegative val="0"/>
          <c:dLbls>
            <c:spPr>
              <a:ln w="12600">
                <a:solidFill>
                  <a:srgbClr val="70AD47"/>
                </a:solidFill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Senta</c:v>
                </c:pt>
                <c:pt idx="1">
                  <c:v>RS</c:v>
                </c:pt>
                <c:pt idx="2">
                  <c:v>APV</c:v>
                </c:pt>
                <c:pt idx="3">
                  <c:v>Kanjiža</c:v>
                </c:pt>
                <c:pt idx="4">
                  <c:v>Bačka Topola</c:v>
                </c:pt>
                <c:pt idx="5">
                  <c:v>Bečej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1.5</c:v>
                </c:pt>
                <c:pt idx="1">
                  <c:v>1.5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1.7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zdravstvena zaštita školske dece i omladine</c:v>
                </c:pt>
              </c:strCache>
            </c:strRef>
          </c:tx>
          <c:spPr>
            <a:solidFill>
              <a:srgbClr val="4472c4"/>
            </a:solidFill>
            <a:ln w="9360">
              <a:noFill/>
            </a:ln>
          </c:spPr>
          <c:invertIfNegative val="0"/>
          <c:dLbls>
            <c:spPr>
              <a:ln w="12600">
                <a:solidFill>
                  <a:srgbClr val="5B9BD5"/>
                </a:solidFill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Senta</c:v>
                </c:pt>
                <c:pt idx="1">
                  <c:v>RS</c:v>
                </c:pt>
                <c:pt idx="2">
                  <c:v>APV</c:v>
                </c:pt>
                <c:pt idx="3">
                  <c:v>Kanjiža</c:v>
                </c:pt>
                <c:pt idx="4">
                  <c:v>Bačka Topola</c:v>
                </c:pt>
                <c:pt idx="5">
                  <c:v>Bečej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0.700000000000001</c:v>
                </c:pt>
                <c:pt idx="1">
                  <c:v>0.700000000000001</c:v>
                </c:pt>
                <c:pt idx="2">
                  <c:v>0.600000000000001</c:v>
                </c:pt>
                <c:pt idx="3">
                  <c:v>0.700000000000001</c:v>
                </c:pt>
                <c:pt idx="4">
                  <c:v>0.600000000000001</c:v>
                </c:pt>
                <c:pt idx="5">
                  <c:v>0.600000000000001</c:v>
                </c:pt>
              </c:numCache>
            </c:numRef>
          </c:val>
        </c:ser>
        <c:gapWidth val="150"/>
        <c:overlap val="0"/>
        <c:axId val="78197013"/>
        <c:axId val="45503642"/>
      </c:barChart>
      <c:catAx>
        <c:axId val="78197013"/>
        <c:scaling>
          <c:orientation val="maxMin"/>
        </c:scaling>
        <c:delete val="0"/>
        <c:axPos val="b"/>
        <c:numFmt formatCode="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1" i="1" sz="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45503642"/>
        <c:crosses val="autoZero"/>
        <c:auto val="1"/>
        <c:lblAlgn val="ctr"/>
        <c:lblOffset val="100"/>
      </c:catAx>
      <c:valAx>
        <c:axId val="45503642"/>
        <c:scaling>
          <c:orientation val="minMax"/>
          <c:max val="2"/>
          <c:min val="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#,##0.0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1" i="1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78197013"/>
        <c:crosses val="autoZero"/>
        <c:crossBetween val="midCat"/>
        <c:majorUnit val="1"/>
      </c:valAx>
      <c:spPr>
        <a:solidFill>
          <a:srgbClr val="ffffff"/>
        </a:solidFill>
        <a:ln w="12600">
          <a:noFill/>
        </a:ln>
      </c:spPr>
    </c:plotArea>
    <c:legend>
      <c:legendPos val="r"/>
      <c:layout>
        <c:manualLayout>
          <c:xMode val="edge"/>
          <c:yMode val="edge"/>
          <c:x val="0.6696875"/>
          <c:y val="0.318555555555556"/>
        </c:manualLayout>
      </c:layout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zdravstvena zaštita odraslog stanovništva </c:v>
                </c:pt>
              </c:strCache>
            </c:strRef>
          </c:tx>
          <c:spPr>
            <a:solidFill>
              <a:srgbClr val="ed7d31"/>
            </a:solidFill>
            <a:ln w="9360">
              <a:noFill/>
            </a:ln>
          </c:spPr>
          <c:invertIfNegative val="0"/>
          <c:dLbls>
            <c:spPr>
              <a:ln w="12600">
                <a:solidFill>
                  <a:srgbClr val="ED7D31"/>
                </a:solidFill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Senta</c:v>
                </c:pt>
                <c:pt idx="1">
                  <c:v>RS</c:v>
                </c:pt>
                <c:pt idx="2">
                  <c:v>APV</c:v>
                </c:pt>
                <c:pt idx="3">
                  <c:v>Kanjiža</c:v>
                </c:pt>
                <c:pt idx="4">
                  <c:v>Bačka Topola</c:v>
                </c:pt>
                <c:pt idx="5">
                  <c:v>Bečej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0.600000000000001</c:v>
                </c:pt>
                <c:pt idx="1">
                  <c:v>0.600000000000001</c:v>
                </c:pt>
                <c:pt idx="2">
                  <c:v>0.600000000000001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zdravstvena zaštita žena </c:v>
                </c:pt>
              </c:strCache>
            </c:strRef>
          </c:tx>
          <c:spPr>
            <a:solidFill>
              <a:srgbClr val="ffc000"/>
            </a:solidFill>
            <a:ln w="9360">
              <a:noFill/>
            </a:ln>
          </c:spPr>
          <c:invertIfNegative val="0"/>
          <c:dLbls>
            <c:spPr>
              <a:ln w="12600">
                <a:solidFill>
                  <a:srgbClr val="FFC000"/>
                </a:solidFill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Senta</c:v>
                </c:pt>
                <c:pt idx="1">
                  <c:v>RS</c:v>
                </c:pt>
                <c:pt idx="2">
                  <c:v>APV</c:v>
                </c:pt>
                <c:pt idx="3">
                  <c:v>Kanjiža</c:v>
                </c:pt>
                <c:pt idx="4">
                  <c:v>Bačka Topola</c:v>
                </c:pt>
                <c:pt idx="5">
                  <c:v>Bečej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0.1</c:v>
                </c:pt>
                <c:pt idx="1">
                  <c:v>0.17</c:v>
                </c:pt>
                <c:pt idx="2">
                  <c:v>0.16</c:v>
                </c:pt>
                <c:pt idx="3">
                  <c:v>0.19</c:v>
                </c:pt>
                <c:pt idx="4">
                  <c:v>0.22</c:v>
                </c:pt>
                <c:pt idx="5">
                  <c:v>0</c:v>
                </c:pt>
              </c:numCache>
            </c:numRef>
          </c:val>
        </c:ser>
        <c:gapWidth val="150"/>
        <c:overlap val="0"/>
        <c:axId val="55365457"/>
        <c:axId val="53291279"/>
      </c:barChart>
      <c:catAx>
        <c:axId val="55365457"/>
        <c:scaling>
          <c:orientation val="maxMin"/>
        </c:scaling>
        <c:delete val="0"/>
        <c:axPos val="b"/>
        <c:numFmt formatCode="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1" i="1" sz="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53291279"/>
        <c:crosses val="autoZero"/>
        <c:auto val="1"/>
        <c:lblAlgn val="ctr"/>
        <c:lblOffset val="100"/>
      </c:catAx>
      <c:valAx>
        <c:axId val="53291279"/>
        <c:scaling>
          <c:orientation val="minMax"/>
          <c:max val="0.8"/>
          <c:min val="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#,##0.00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1" i="1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55365457"/>
        <c:crosses val="autoZero"/>
        <c:crossBetween val="midCat"/>
        <c:majorUnit val="0.2"/>
      </c:valAx>
      <c:spPr>
        <a:solidFill>
          <a:srgbClr val="ffffff"/>
        </a:solidFill>
        <a:ln w="12600">
          <a:noFill/>
        </a:ln>
      </c:spPr>
    </c:plotArea>
    <c:legend>
      <c:legendPos val="r"/>
      <c:layout>
        <c:manualLayout>
          <c:xMode val="edge"/>
          <c:yMode val="edge"/>
          <c:x val="0.7028125"/>
          <c:y val="0.288888888888889"/>
        </c:manualLayout>
      </c:layout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Maloletni</c:v>
                </c:pt>
              </c:strCache>
            </c:strRef>
          </c:tx>
          <c:spPr>
            <a:solidFill>
              <a:srgbClr val="92d050"/>
            </a:solidFill>
            <a:ln w="9360">
              <a:noFill/>
            </a:ln>
          </c:spPr>
          <c:invertIfNegative val="0"/>
          <c:dLbls>
            <c:dLbl>
              <c:idx val="0"/>
              <c:spPr>
                <a:ln w="12600">
                  <a:solidFill>
                    <a:srgbClr val="44546A"/>
                  </a:solidFill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pPr>
                <a:ln w="12600">
                  <a:solidFill>
                    <a:srgbClr val="44546A"/>
                  </a:solidFill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pPr>
                <a:ln w="12600">
                  <a:solidFill>
                    <a:srgbClr val="44546A"/>
                  </a:solidFill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3"/>
              <c:spPr>
                <a:ln w="12600">
                  <a:solidFill>
                    <a:srgbClr val="44546A"/>
                  </a:solidFill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4"/>
              <c:spPr>
                <a:ln w="12600">
                  <a:solidFill>
                    <a:srgbClr val="44546A"/>
                  </a:solidFill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5"/>
              <c:spPr>
                <a:ln w="12600">
                  <a:solidFill>
                    <a:srgbClr val="44546A"/>
                  </a:solidFill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Senta</c:v>
                </c:pt>
                <c:pt idx="1">
                  <c:v>RS</c:v>
                </c:pt>
                <c:pt idx="2">
                  <c:v>APV</c:v>
                </c:pt>
                <c:pt idx="3">
                  <c:v>Kanjiža</c:v>
                </c:pt>
                <c:pt idx="4">
                  <c:v>Bačka Topola</c:v>
                </c:pt>
                <c:pt idx="5">
                  <c:v>Bečej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0.41</c:v>
                </c:pt>
                <c:pt idx="1">
                  <c:v>0.14</c:v>
                </c:pt>
                <c:pt idx="2">
                  <c:v>0.18</c:v>
                </c:pt>
                <c:pt idx="3">
                  <c:v>0.21</c:v>
                </c:pt>
                <c:pt idx="4">
                  <c:v>0.13</c:v>
                </c:pt>
                <c:pt idx="5">
                  <c:v>0.26</c:v>
                </c:pt>
              </c:numCache>
            </c:numRef>
          </c:val>
        </c:ser>
        <c:gapWidth val="150"/>
        <c:overlap val="0"/>
        <c:axId val="88647787"/>
        <c:axId val="6357623"/>
      </c:barChart>
      <c:catAx>
        <c:axId val="88647787"/>
        <c:scaling>
          <c:orientation val="maxMin"/>
        </c:scaling>
        <c:delete val="0"/>
        <c:axPos val="b"/>
        <c:numFmt formatCode="MM/DD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1" i="1" sz="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6357623"/>
        <c:crosses val="autoZero"/>
        <c:auto val="1"/>
        <c:lblAlgn val="ctr"/>
        <c:lblOffset val="100"/>
      </c:catAx>
      <c:valAx>
        <c:axId val="6357623"/>
        <c:scaling>
          <c:orientation val="minMax"/>
          <c:max val="0.45"/>
          <c:min val="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#,##0.00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0" i="1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mbria"/>
                <a:ea typeface="Cambria"/>
              </a:defRPr>
            </a:pPr>
          </a:p>
        </c:txPr>
        <c:crossAx val="88647787"/>
        <c:crosses val="autoZero"/>
        <c:crossBetween val="midCat"/>
        <c:majorUnit val="0.09"/>
      </c:valAx>
      <c:spPr>
        <a:solidFill>
          <a:srgbClr val="ffffff"/>
        </a:solidFill>
        <a:ln w="1260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F452-1961-4F07-957A-83B10433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LibreOffice/5.1.2.2$Windows_x86 LibreOffice_project/d3bf12ecb743fc0d20e0be0c58ca359301eb705f</Application>
  <Pages>11</Pages>
  <Words>2169</Words>
  <Characters>14186</Characters>
  <CharactersWithSpaces>16846</CharactersWithSpaces>
  <Paragraphs>270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2022-02-21T13:30:00Z</dcterms:created>
  <dc:creator>Lenovo-B50</dc:creator>
  <dc:description/>
  <dc:language>en-US</dc:language>
  <cp:lastModifiedBy/>
  <cp:lastPrinted>2022-02-11T09:23:00Z</cp:lastPrinted>
  <dcterms:modified xsi:type="dcterms:W3CDTF">2022-02-23T11:41:03Z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