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object w:dxaOrig="2188" w:dyaOrig="2010">
          <v:rect xmlns:o="urn:schemas-microsoft-com:office:office" xmlns:v="urn:schemas-microsoft-com:vml" id="rectole0000000000" style="width:109.400000pt;height:100.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74"/>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1620" w:firstLine="0"/>
        <w:jc w:val="left"/>
        <w:rPr>
          <w:rFonts w:ascii="Times New Roman" w:hAnsi="Times New Roman" w:cs="Times New Roman" w:eastAsia="Times New Roman"/>
          <w:b/>
          <w:color w:val="auto"/>
          <w:spacing w:val="0"/>
          <w:position w:val="0"/>
          <w:sz w:val="43"/>
          <w:shd w:fill="auto" w:val="clear"/>
        </w:rPr>
      </w:pPr>
      <w:r>
        <w:rPr>
          <w:rFonts w:ascii="Times New Roman" w:hAnsi="Times New Roman" w:cs="Times New Roman" w:eastAsia="Times New Roman"/>
          <w:b/>
          <w:color w:val="auto"/>
          <w:spacing w:val="0"/>
          <w:position w:val="0"/>
          <w:sz w:val="43"/>
          <w:shd w:fill="auto" w:val="clear"/>
        </w:rPr>
        <w:t xml:space="preserve">ЛОКАЛНИ АКЦИОНИ ПЛАН</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511" w:left="320" w:firstLine="0"/>
        <w:jc w:val="center"/>
        <w:rPr>
          <w:rFonts w:ascii="Times New Roman" w:hAnsi="Times New Roman" w:cs="Times New Roman" w:eastAsia="Times New Roman"/>
          <w:b/>
          <w:color w:val="auto"/>
          <w:spacing w:val="0"/>
          <w:position w:val="0"/>
          <w:sz w:val="31"/>
          <w:shd w:fill="auto" w:val="clear"/>
        </w:rPr>
      </w:pPr>
      <w:r>
        <w:rPr>
          <w:rFonts w:ascii="Times New Roman" w:hAnsi="Times New Roman" w:cs="Times New Roman" w:eastAsia="Times New Roman"/>
          <w:b/>
          <w:color w:val="auto"/>
          <w:spacing w:val="0"/>
          <w:position w:val="0"/>
          <w:sz w:val="31"/>
          <w:shd w:fill="auto" w:val="clear"/>
        </w:rPr>
        <w:t xml:space="preserve">ЗА УНАПРЕЂЕЊЕ ПОЛОЖАЈА ИЗБЕГЛИХ, ИНТЕРНО РАСЕЉЕНИХ ЛИЦА И ПОВРАТНИКА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191" w:left="0" w:firstLine="0"/>
        <w:jc w:val="center"/>
        <w:rPr>
          <w:rFonts w:ascii="Times New Roman" w:hAnsi="Times New Roman" w:cs="Times New Roman" w:eastAsia="Times New Roman"/>
          <w:b/>
          <w:color w:val="auto"/>
          <w:spacing w:val="0"/>
          <w:position w:val="0"/>
          <w:sz w:val="31"/>
          <w:shd w:fill="auto" w:val="clear"/>
        </w:rPr>
      </w:pPr>
      <w:r>
        <w:rPr>
          <w:rFonts w:ascii="Times New Roman" w:hAnsi="Times New Roman" w:cs="Times New Roman" w:eastAsia="Times New Roman"/>
          <w:b/>
          <w:color w:val="auto"/>
          <w:spacing w:val="0"/>
          <w:position w:val="0"/>
          <w:sz w:val="31"/>
          <w:shd w:fill="auto" w:val="clear"/>
        </w:rPr>
        <w:t xml:space="preserve">ПО ОСНОВУ РЕАДМИСИЈЕ</w:t>
      </w:r>
      <w:r>
        <w:rPr>
          <w:rFonts w:ascii="Times New Roman" w:hAnsi="Times New Roman" w:cs="Times New Roman" w:eastAsia="Times New Roman"/>
          <w:b/>
          <w:color w:val="auto"/>
          <w:spacing w:val="0"/>
          <w:position w:val="0"/>
          <w:sz w:val="31"/>
          <w:shd w:fill="auto" w:val="clear"/>
        </w:rPr>
        <w:t xml:space="preserve">  </w:t>
      </w:r>
      <w:r>
        <w:rPr>
          <w:rFonts w:ascii="Times New Roman" w:hAnsi="Times New Roman" w:cs="Times New Roman" w:eastAsia="Times New Roman"/>
          <w:b/>
          <w:color w:val="auto"/>
          <w:spacing w:val="0"/>
          <w:position w:val="0"/>
          <w:sz w:val="31"/>
          <w:shd w:fill="auto" w:val="clear"/>
        </w:rPr>
        <w:t xml:space="preserve">У </w:t>
      </w:r>
      <w:r>
        <w:rPr>
          <w:rFonts w:ascii="Times New Roman" w:hAnsi="Times New Roman" w:cs="Times New Roman" w:eastAsia="Times New Roman"/>
          <w:b/>
          <w:color w:val="auto"/>
          <w:spacing w:val="0"/>
          <w:position w:val="0"/>
          <w:sz w:val="31"/>
          <w:shd w:fill="auto" w:val="clear"/>
        </w:rPr>
        <w:t xml:space="preserve">ОПШТИНИ СЕНТА ЗА ПЕРИОД </w:t>
      </w:r>
    </w:p>
    <w:p>
      <w:pPr>
        <w:spacing w:before="0" w:after="0" w:line="240"/>
        <w:ind w:right="191" w:left="0" w:firstLine="0"/>
        <w:jc w:val="center"/>
        <w:rPr>
          <w:rFonts w:ascii="Times New Roman" w:hAnsi="Times New Roman" w:cs="Times New Roman" w:eastAsia="Times New Roman"/>
          <w:b/>
          <w:color w:val="auto"/>
          <w:spacing w:val="0"/>
          <w:position w:val="0"/>
          <w:sz w:val="31"/>
          <w:shd w:fill="auto" w:val="clear"/>
        </w:rPr>
      </w:pPr>
      <w:r>
        <w:rPr>
          <w:rFonts w:ascii="Times New Roman" w:hAnsi="Times New Roman" w:cs="Times New Roman" w:eastAsia="Times New Roman"/>
          <w:b/>
          <w:color w:val="auto"/>
          <w:spacing w:val="0"/>
          <w:position w:val="0"/>
          <w:sz w:val="31"/>
          <w:shd w:fill="auto" w:val="clear"/>
        </w:rPr>
        <w:t xml:space="preserve">2024</w:t>
      </w:r>
      <w:r>
        <w:rPr>
          <w:rFonts w:ascii="Times New Roman" w:hAnsi="Times New Roman" w:cs="Times New Roman" w:eastAsia="Times New Roman"/>
          <w:color w:val="auto"/>
          <w:spacing w:val="0"/>
          <w:position w:val="0"/>
          <w:sz w:val="31"/>
          <w:shd w:fill="auto" w:val="clear"/>
        </w:rPr>
        <w:t xml:space="preserve"> – </w:t>
      </w:r>
      <w:r>
        <w:rPr>
          <w:rFonts w:ascii="Times New Roman" w:hAnsi="Times New Roman" w:cs="Times New Roman" w:eastAsia="Times New Roman"/>
          <w:b/>
          <w:color w:val="auto"/>
          <w:spacing w:val="0"/>
          <w:position w:val="0"/>
          <w:sz w:val="31"/>
          <w:shd w:fill="auto" w:val="clear"/>
        </w:rPr>
        <w:t xml:space="preserve">2028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42"/>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268"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268"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464"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САДРЖАЈ</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tblGrid>
        <w:gridCol w:w="710"/>
        <w:gridCol w:w="8644"/>
        <w:gridCol w:w="691"/>
      </w:tblGrid>
      <w:tr>
        <w:trPr>
          <w:trHeight w:val="1" w:hRule="atLeast"/>
          <w:jc w:val="left"/>
        </w:trPr>
        <w:tc>
          <w:tcPr>
            <w:tcW w:w="71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64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Уводни део</w:t>
            </w:r>
            <w:r>
              <w:rPr>
                <w:rFonts w:ascii="Times New Roman" w:hAnsi="Times New Roman" w:cs="Times New Roman" w:eastAsia="Times New Roman"/>
                <w:color w:val="auto"/>
                <w:spacing w:val="0"/>
                <w:position w:val="0"/>
                <w:sz w:val="24"/>
                <w:shd w:fill="auto" w:val="clear"/>
              </w:rPr>
              <w:t xml:space="preserve">...........................................................................................................................</w:t>
            </w:r>
          </w:p>
        </w:tc>
        <w:tc>
          <w:tcPr>
            <w:tcW w:w="69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71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64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Резиме  Локалног  акционог  плана  за  унапређење  положаја  избеглих,  интерно расељених лица и повратника по основу реадмисије у општини Сента за период 2024-2028..............................................................................................................................</w:t>
            </w:r>
          </w:p>
        </w:tc>
        <w:tc>
          <w:tcPr>
            <w:tcW w:w="69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71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64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Општи циљ ЛАП-а...............................................................................................................</w:t>
            </w:r>
          </w:p>
        </w:tc>
        <w:tc>
          <w:tcPr>
            <w:tcW w:w="69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71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64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Приоритетне циљне групе..................................................................................................</w:t>
            </w:r>
          </w:p>
        </w:tc>
        <w:tc>
          <w:tcPr>
            <w:tcW w:w="69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71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64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Специфични циљеви............................................................................................................</w:t>
            </w:r>
          </w:p>
        </w:tc>
        <w:tc>
          <w:tcPr>
            <w:tcW w:w="69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tblGrid>
        <w:gridCol w:w="708"/>
        <w:gridCol w:w="8647"/>
        <w:gridCol w:w="690"/>
      </w:tblGrid>
      <w:tr>
        <w:trPr>
          <w:trHeight w:val="1" w:hRule="atLeast"/>
          <w:jc w:val="left"/>
        </w:trPr>
        <w:tc>
          <w:tcPr>
            <w:tcW w:w="70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647"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Општи подаци о општини Сента</w:t>
            </w:r>
            <w:r>
              <w:rPr>
                <w:rFonts w:ascii="Times New Roman" w:hAnsi="Times New Roman" w:cs="Times New Roman" w:eastAsia="Times New Roman"/>
                <w:color w:val="auto"/>
                <w:spacing w:val="0"/>
                <w:position w:val="0"/>
                <w:sz w:val="24"/>
                <w:shd w:fill="auto" w:val="clear"/>
              </w:rPr>
              <w:t xml:space="preserve">....................................................................................</w:t>
            </w:r>
          </w:p>
        </w:tc>
        <w:tc>
          <w:tcPr>
            <w:tcW w:w="69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70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647"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Географске и административне карактеристике..............................................................</w:t>
            </w:r>
          </w:p>
        </w:tc>
        <w:tc>
          <w:tcPr>
            <w:tcW w:w="69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r>
        <w:trPr>
          <w:trHeight w:val="1" w:hRule="atLeast"/>
          <w:jc w:val="left"/>
        </w:trPr>
        <w:tc>
          <w:tcPr>
            <w:tcW w:w="70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647"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Демографске карактеристике и трендови..........................................................................</w:t>
            </w:r>
          </w:p>
        </w:tc>
        <w:tc>
          <w:tcPr>
            <w:tcW w:w="69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r>
        <w:trPr>
          <w:trHeight w:val="1" w:hRule="atLeast"/>
          <w:jc w:val="left"/>
        </w:trPr>
        <w:tc>
          <w:tcPr>
            <w:tcW w:w="70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647"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Кретање броја запослених и незапослених.......................................................................</w:t>
            </w:r>
          </w:p>
        </w:tc>
        <w:tc>
          <w:tcPr>
            <w:tcW w:w="69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r>
        <w:trPr>
          <w:trHeight w:val="1" w:hRule="atLeast"/>
          <w:jc w:val="left"/>
        </w:trPr>
        <w:tc>
          <w:tcPr>
            <w:tcW w:w="70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647"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Привреда...............................................................................................................................</w:t>
            </w:r>
          </w:p>
        </w:tc>
        <w:tc>
          <w:tcPr>
            <w:tcW w:w="69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r>
        <w:trPr>
          <w:trHeight w:val="1" w:hRule="atLeast"/>
          <w:jc w:val="left"/>
        </w:trPr>
        <w:tc>
          <w:tcPr>
            <w:tcW w:w="708"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647"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Пољопривреда......................................................................................................................</w:t>
            </w:r>
          </w:p>
        </w:tc>
        <w:tc>
          <w:tcPr>
            <w:tcW w:w="69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tblGrid>
        <w:gridCol w:w="709"/>
        <w:gridCol w:w="8646"/>
        <w:gridCol w:w="690"/>
      </w:tblGrid>
      <w:tr>
        <w:trPr>
          <w:trHeight w:val="1" w:hRule="atLeast"/>
          <w:jc w:val="left"/>
        </w:trPr>
        <w:tc>
          <w:tcPr>
            <w:tcW w:w="709"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8646"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Подаци  о  избеглим,  интерно  расељеним  лицима  и  повратницима  у  општини Сента.....................................................................................................................................</w:t>
            </w:r>
          </w:p>
        </w:tc>
        <w:tc>
          <w:tcPr>
            <w:tcW w:w="69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tblGrid>
        <w:gridCol w:w="711"/>
        <w:gridCol w:w="8642"/>
        <w:gridCol w:w="692"/>
      </w:tblGrid>
      <w:tr>
        <w:trPr>
          <w:trHeight w:val="1" w:hRule="atLeast"/>
          <w:jc w:val="left"/>
        </w:trPr>
        <w:tc>
          <w:tcPr>
            <w:tcW w:w="71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864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Анализа ситуације и закључци</w:t>
            </w:r>
            <w:r>
              <w:rPr>
                <w:rFonts w:ascii="Times New Roman" w:hAnsi="Times New Roman" w:cs="Times New Roman" w:eastAsia="Times New Roman"/>
                <w:color w:val="auto"/>
                <w:spacing w:val="0"/>
                <w:position w:val="0"/>
                <w:sz w:val="24"/>
                <w:shd w:fill="auto" w:val="clear"/>
              </w:rPr>
              <w:t xml:space="preserve">.......................................................................................</w:t>
            </w:r>
          </w:p>
        </w:tc>
        <w:tc>
          <w:tcPr>
            <w:tcW w:w="69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r>
        <w:trPr>
          <w:trHeight w:val="1" w:hRule="atLeast"/>
          <w:jc w:val="left"/>
        </w:trPr>
        <w:tc>
          <w:tcPr>
            <w:tcW w:w="71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64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Најважнији закључци анализе документације..................................................................</w:t>
            </w:r>
          </w:p>
        </w:tc>
        <w:tc>
          <w:tcPr>
            <w:tcW w:w="69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r>
        <w:trPr>
          <w:trHeight w:val="1" w:hRule="atLeast"/>
          <w:jc w:val="left"/>
        </w:trPr>
        <w:tc>
          <w:tcPr>
            <w:tcW w:w="71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64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Анализа стања – SWOT анализа.........................................................................................</w:t>
            </w:r>
          </w:p>
        </w:tc>
        <w:tc>
          <w:tcPr>
            <w:tcW w:w="69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r>
        <w:trPr>
          <w:trHeight w:val="1" w:hRule="atLeast"/>
          <w:jc w:val="left"/>
        </w:trPr>
        <w:tc>
          <w:tcPr>
            <w:tcW w:w="71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64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Најважнији закључци SWOT анализе................................................................................</w:t>
            </w:r>
          </w:p>
        </w:tc>
        <w:tc>
          <w:tcPr>
            <w:tcW w:w="69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r>
      <w:tr>
        <w:trPr>
          <w:trHeight w:val="1" w:hRule="atLeast"/>
          <w:jc w:val="left"/>
        </w:trPr>
        <w:tc>
          <w:tcPr>
            <w:tcW w:w="71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64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Анализа заинтересованих страна.......................................................................................</w:t>
            </w:r>
          </w:p>
        </w:tc>
        <w:tc>
          <w:tcPr>
            <w:tcW w:w="69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r>
      <w:tr>
        <w:trPr>
          <w:trHeight w:val="1" w:hRule="atLeast"/>
          <w:jc w:val="left"/>
        </w:trPr>
        <w:tc>
          <w:tcPr>
            <w:tcW w:w="71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64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Анализа проблема................................................................................................................</w:t>
            </w:r>
          </w:p>
        </w:tc>
        <w:tc>
          <w:tcPr>
            <w:tcW w:w="69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r>
      <w:tr>
        <w:trPr>
          <w:trHeight w:val="1" w:hRule="atLeast"/>
          <w:jc w:val="left"/>
        </w:trPr>
        <w:tc>
          <w:tcPr>
            <w:tcW w:w="71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64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Општи закључци анализе....................................................................................................</w:t>
            </w:r>
          </w:p>
        </w:tc>
        <w:tc>
          <w:tcPr>
            <w:tcW w:w="69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tblGrid>
        <w:gridCol w:w="711"/>
        <w:gridCol w:w="8642"/>
        <w:gridCol w:w="692"/>
      </w:tblGrid>
      <w:tr>
        <w:trPr>
          <w:trHeight w:val="1" w:hRule="atLeast"/>
          <w:jc w:val="left"/>
        </w:trPr>
        <w:tc>
          <w:tcPr>
            <w:tcW w:w="71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864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Приоритетне циљне групе</w:t>
            </w:r>
            <w:r>
              <w:rPr>
                <w:rFonts w:ascii="Times New Roman" w:hAnsi="Times New Roman" w:cs="Times New Roman" w:eastAsia="Times New Roman"/>
                <w:color w:val="auto"/>
                <w:spacing w:val="0"/>
                <w:position w:val="0"/>
                <w:sz w:val="24"/>
                <w:shd w:fill="auto" w:val="clear"/>
              </w:rPr>
              <w:t xml:space="preserve">................................................................................................</w:t>
            </w:r>
          </w:p>
        </w:tc>
        <w:tc>
          <w:tcPr>
            <w:tcW w:w="69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r>
      <w:tr>
        <w:trPr>
          <w:trHeight w:val="1" w:hRule="atLeast"/>
          <w:jc w:val="left"/>
        </w:trPr>
        <w:tc>
          <w:tcPr>
            <w:tcW w:w="71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64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Економске миграције...........................................................................................................</w:t>
            </w:r>
          </w:p>
        </w:tc>
        <w:tc>
          <w:tcPr>
            <w:tcW w:w="69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r>
      <w:tr>
        <w:trPr>
          <w:trHeight w:val="1" w:hRule="atLeast"/>
          <w:jc w:val="left"/>
        </w:trPr>
        <w:tc>
          <w:tcPr>
            <w:tcW w:w="71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64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Трговина људима.................................................................................................................</w:t>
            </w:r>
          </w:p>
        </w:tc>
        <w:tc>
          <w:tcPr>
            <w:tcW w:w="69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tblGrid>
        <w:gridCol w:w="713"/>
        <w:gridCol w:w="8640"/>
        <w:gridCol w:w="692"/>
      </w:tblGrid>
      <w:tr>
        <w:trPr>
          <w:trHeight w:val="1" w:hRule="atLeast"/>
          <w:jc w:val="left"/>
        </w:trPr>
        <w:tc>
          <w:tcPr>
            <w:tcW w:w="71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81"/>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8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81"/>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Општи и специфични циљеви</w:t>
            </w:r>
            <w:r>
              <w:rPr>
                <w:rFonts w:ascii="Times New Roman" w:hAnsi="Times New Roman" w:cs="Times New Roman" w:eastAsia="Times New Roman"/>
                <w:color w:val="auto"/>
                <w:spacing w:val="0"/>
                <w:position w:val="0"/>
                <w:sz w:val="24"/>
                <w:shd w:fill="auto" w:val="clear"/>
              </w:rPr>
              <w:t xml:space="preserve">.........................................................................................</w:t>
            </w:r>
          </w:p>
        </w:tc>
        <w:tc>
          <w:tcPr>
            <w:tcW w:w="69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81"/>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r>
      <w:tr>
        <w:trPr>
          <w:trHeight w:val="1" w:hRule="atLeast"/>
          <w:jc w:val="left"/>
        </w:trPr>
        <w:tc>
          <w:tcPr>
            <w:tcW w:w="71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81"/>
              <w:ind w:right="0" w:left="0" w:firstLine="0"/>
              <w:jc w:val="center"/>
              <w:rPr>
                <w:rFonts w:ascii="Calibri" w:hAnsi="Calibri" w:cs="Calibri" w:eastAsia="Calibri"/>
                <w:color w:val="auto"/>
                <w:spacing w:val="0"/>
                <w:position w:val="0"/>
                <w:sz w:val="22"/>
                <w:shd w:fill="auto" w:val="clear"/>
              </w:rPr>
            </w:pPr>
          </w:p>
        </w:tc>
        <w:tc>
          <w:tcPr>
            <w:tcW w:w="8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81"/>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Општи циљ ЛАП-а...............................................................................................................</w:t>
            </w:r>
          </w:p>
        </w:tc>
        <w:tc>
          <w:tcPr>
            <w:tcW w:w="69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81"/>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r>
      <w:tr>
        <w:trPr>
          <w:trHeight w:val="1" w:hRule="atLeast"/>
          <w:jc w:val="left"/>
        </w:trPr>
        <w:tc>
          <w:tcPr>
            <w:tcW w:w="71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81"/>
              <w:ind w:right="0" w:left="0" w:firstLine="0"/>
              <w:jc w:val="center"/>
              <w:rPr>
                <w:rFonts w:ascii="Calibri" w:hAnsi="Calibri" w:cs="Calibri" w:eastAsia="Calibri"/>
                <w:color w:val="auto"/>
                <w:spacing w:val="0"/>
                <w:position w:val="0"/>
                <w:sz w:val="22"/>
                <w:shd w:fill="auto" w:val="clear"/>
              </w:rPr>
            </w:pPr>
          </w:p>
        </w:tc>
        <w:tc>
          <w:tcPr>
            <w:tcW w:w="8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81"/>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Специфични циљеви ЛАП-а...............................................................................................</w:t>
            </w:r>
          </w:p>
        </w:tc>
        <w:tc>
          <w:tcPr>
            <w:tcW w:w="69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81"/>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r>
    </w:tbl>
    <w:p>
      <w:pPr>
        <w:spacing w:before="0" w:after="0" w:line="281"/>
        <w:ind w:right="0" w:left="0" w:firstLine="0"/>
        <w:jc w:val="left"/>
        <w:rPr>
          <w:rFonts w:ascii="Times New Roman" w:hAnsi="Times New Roman" w:cs="Times New Roman" w:eastAsia="Times New Roman"/>
          <w:color w:val="auto"/>
          <w:spacing w:val="0"/>
          <w:position w:val="0"/>
          <w:sz w:val="24"/>
          <w:shd w:fill="auto" w:val="clear"/>
        </w:rPr>
      </w:pPr>
    </w:p>
    <w:tbl>
      <w:tblPr/>
      <w:tblGrid>
        <w:gridCol w:w="711"/>
        <w:gridCol w:w="8643"/>
        <w:gridCol w:w="691"/>
      </w:tblGrid>
      <w:tr>
        <w:trPr>
          <w:trHeight w:val="1" w:hRule="atLeast"/>
          <w:jc w:val="left"/>
        </w:trPr>
        <w:tc>
          <w:tcPr>
            <w:tcW w:w="71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864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План активности</w:t>
            </w:r>
            <w:r>
              <w:rPr>
                <w:rFonts w:ascii="Times New Roman" w:hAnsi="Times New Roman" w:cs="Times New Roman" w:eastAsia="Times New Roman"/>
                <w:color w:val="auto"/>
                <w:spacing w:val="0"/>
                <w:position w:val="0"/>
                <w:sz w:val="24"/>
                <w:shd w:fill="auto" w:val="clear"/>
              </w:rPr>
              <w:t xml:space="preserve">................................................................................................................</w:t>
            </w:r>
          </w:p>
        </w:tc>
        <w:tc>
          <w:tcPr>
            <w:tcW w:w="69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r>
    </w:tbl>
    <w:p>
      <w:pPr>
        <w:spacing w:before="0" w:after="0" w:line="276"/>
        <w:ind w:right="0" w:left="0" w:firstLine="0"/>
        <w:jc w:val="left"/>
        <w:rPr>
          <w:rFonts w:ascii="Times New Roman" w:hAnsi="Times New Roman" w:cs="Times New Roman" w:eastAsia="Times New Roman"/>
          <w:b/>
          <w:color w:val="auto"/>
          <w:spacing w:val="0"/>
          <w:position w:val="0"/>
          <w:sz w:val="24"/>
          <w:shd w:fill="auto" w:val="clear"/>
        </w:rPr>
      </w:pPr>
    </w:p>
    <w:tbl>
      <w:tblPr/>
      <w:tblGrid>
        <w:gridCol w:w="712"/>
        <w:gridCol w:w="8641"/>
        <w:gridCol w:w="692"/>
      </w:tblGrid>
      <w:tr>
        <w:trPr>
          <w:trHeight w:val="1" w:hRule="atLeast"/>
          <w:jc w:val="left"/>
        </w:trPr>
        <w:tc>
          <w:tcPr>
            <w:tcW w:w="71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864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Финансијски план</w:t>
            </w:r>
            <w:r>
              <w:rPr>
                <w:rFonts w:ascii="Times New Roman" w:hAnsi="Times New Roman" w:cs="Times New Roman" w:eastAsia="Times New Roman"/>
                <w:color w:val="auto"/>
                <w:spacing w:val="0"/>
                <w:position w:val="0"/>
                <w:sz w:val="24"/>
                <w:shd w:fill="auto" w:val="clear"/>
              </w:rPr>
              <w:t xml:space="preserve">.............................................................................................................</w:t>
            </w:r>
          </w:p>
        </w:tc>
        <w:tc>
          <w:tcPr>
            <w:tcW w:w="69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r>
    </w:tbl>
    <w:p>
      <w:pPr>
        <w:spacing w:before="0" w:after="0" w:line="276"/>
        <w:ind w:right="0" w:left="0" w:firstLine="0"/>
        <w:jc w:val="left"/>
        <w:rPr>
          <w:rFonts w:ascii="Times New Roman" w:hAnsi="Times New Roman" w:cs="Times New Roman" w:eastAsia="Times New Roman"/>
          <w:color w:val="auto"/>
          <w:spacing w:val="0"/>
          <w:position w:val="0"/>
          <w:sz w:val="24"/>
          <w:shd w:fill="auto" w:val="clear"/>
        </w:rPr>
      </w:pPr>
    </w:p>
    <w:tbl>
      <w:tblPr/>
      <w:tblGrid>
        <w:gridCol w:w="712"/>
        <w:gridCol w:w="8641"/>
        <w:gridCol w:w="692"/>
      </w:tblGrid>
      <w:tr>
        <w:trPr>
          <w:trHeight w:val="1" w:hRule="atLeast"/>
          <w:jc w:val="left"/>
        </w:trPr>
        <w:tc>
          <w:tcPr>
            <w:tcW w:w="71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864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Аранжмани за примену</w:t>
            </w:r>
            <w:r>
              <w:rPr>
                <w:rFonts w:ascii="Times New Roman" w:hAnsi="Times New Roman" w:cs="Times New Roman" w:eastAsia="Times New Roman"/>
                <w:color w:val="auto"/>
                <w:spacing w:val="0"/>
                <w:position w:val="0"/>
                <w:sz w:val="24"/>
                <w:shd w:fill="auto" w:val="clear"/>
              </w:rPr>
              <w:t xml:space="preserve">.....................................................................................................</w:t>
            </w:r>
          </w:p>
        </w:tc>
        <w:tc>
          <w:tcPr>
            <w:tcW w:w="69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r>
    </w:tbl>
    <w:p>
      <w:pPr>
        <w:spacing w:before="0" w:after="0" w:line="276"/>
        <w:ind w:right="0" w:left="0" w:firstLine="0"/>
        <w:jc w:val="left"/>
        <w:rPr>
          <w:rFonts w:ascii="Times New Roman" w:hAnsi="Times New Roman" w:cs="Times New Roman" w:eastAsia="Times New Roman"/>
          <w:color w:val="auto"/>
          <w:spacing w:val="0"/>
          <w:position w:val="0"/>
          <w:sz w:val="24"/>
          <w:shd w:fill="auto" w:val="clear"/>
        </w:rPr>
      </w:pPr>
    </w:p>
    <w:tbl>
      <w:tblPr/>
      <w:tblGrid>
        <w:gridCol w:w="712"/>
        <w:gridCol w:w="8641"/>
        <w:gridCol w:w="692"/>
      </w:tblGrid>
      <w:tr>
        <w:trPr>
          <w:trHeight w:val="1" w:hRule="atLeast"/>
          <w:jc w:val="left"/>
        </w:trPr>
        <w:tc>
          <w:tcPr>
            <w:tcW w:w="71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c>
          <w:tcPr>
            <w:tcW w:w="864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Праћење и оцена успешности</w:t>
            </w:r>
            <w:r>
              <w:rPr>
                <w:rFonts w:ascii="Times New Roman" w:hAnsi="Times New Roman" w:cs="Times New Roman" w:eastAsia="Times New Roman"/>
                <w:color w:val="auto"/>
                <w:spacing w:val="0"/>
                <w:position w:val="0"/>
                <w:sz w:val="24"/>
                <w:shd w:fill="auto" w:val="clear"/>
              </w:rPr>
              <w:t xml:space="preserve">..........................................................................................</w:t>
            </w:r>
          </w:p>
        </w:tc>
        <w:tc>
          <w:tcPr>
            <w:tcW w:w="69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r>
      <w:tr>
        <w:trPr>
          <w:trHeight w:val="1" w:hRule="atLeast"/>
          <w:jc w:val="left"/>
        </w:trPr>
        <w:tc>
          <w:tcPr>
            <w:tcW w:w="71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76"/>
              <w:ind w:right="0" w:left="0" w:firstLine="0"/>
              <w:jc w:val="center"/>
              <w:rPr>
                <w:rFonts w:ascii="Calibri" w:hAnsi="Calibri" w:cs="Calibri" w:eastAsia="Calibri"/>
                <w:color w:val="auto"/>
                <w:spacing w:val="0"/>
                <w:position w:val="0"/>
                <w:sz w:val="22"/>
                <w:shd w:fill="auto" w:val="clear"/>
              </w:rPr>
            </w:pPr>
          </w:p>
        </w:tc>
        <w:tc>
          <w:tcPr>
            <w:tcW w:w="864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Временски оквир..................................................................................................................</w:t>
            </w:r>
          </w:p>
        </w:tc>
        <w:tc>
          <w:tcPr>
            <w:tcW w:w="69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r>
      <w:tr>
        <w:trPr>
          <w:trHeight w:val="1" w:hRule="atLeast"/>
          <w:jc w:val="left"/>
        </w:trPr>
        <w:tc>
          <w:tcPr>
            <w:tcW w:w="71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76"/>
              <w:ind w:right="0" w:left="0" w:firstLine="0"/>
              <w:jc w:val="center"/>
              <w:rPr>
                <w:rFonts w:ascii="Calibri" w:hAnsi="Calibri" w:cs="Calibri" w:eastAsia="Calibri"/>
                <w:color w:val="auto"/>
                <w:spacing w:val="0"/>
                <w:position w:val="0"/>
                <w:sz w:val="22"/>
                <w:shd w:fill="auto" w:val="clear"/>
              </w:rPr>
            </w:pPr>
          </w:p>
        </w:tc>
        <w:tc>
          <w:tcPr>
            <w:tcW w:w="864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Методе и технике мониторинга и евалуације...................................................................</w:t>
            </w:r>
          </w:p>
        </w:tc>
        <w:tc>
          <w:tcPr>
            <w:tcW w:w="69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r>
    </w:tbl>
    <w:p>
      <w:pPr>
        <w:spacing w:before="0" w:after="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03"/>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115"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115"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268"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УВОДНИ ДЕО</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23"/>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169"/>
        </w:numPr>
        <w:tabs>
          <w:tab w:val="left" w:pos="335" w:leader="none"/>
        </w:tabs>
        <w:spacing w:before="0" w:after="0" w:line="241"/>
        <w:ind w:right="140" w:left="9" w:hanging="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овом документу под процесом локалног акционог планирања унапређења положаја избеглих, интерно расељених лица и повратника подразумевамо процес доношења одлука о томе које промене намеравамо да остваримо у свом локалном окружењу значајне за живот избеглих, интерно расељених лица и повратника у предвиђеном временском периоду. Процес се заснива на идентификовању најбољег начина ангажовања капацитета свих социјалних актера у заједници у планирању и примени плана.</w:t>
      </w:r>
    </w:p>
    <w:p>
      <w:pPr>
        <w:spacing w:before="0" w:after="0" w:line="252"/>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140" w:left="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Локални акциони план (ЛАП) за унапређење положаја избеглих, ИРЛ и повратника посматрамо као резултат процеса планирања или планску одлуку којом су дефинисани основни начини остваривања циљева развоја ове области живота локалне заједнице.</w:t>
      </w:r>
    </w:p>
    <w:p>
      <w:pPr>
        <w:spacing w:before="0" w:after="0" w:line="252"/>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173"/>
        </w:numPr>
        <w:tabs>
          <w:tab w:val="left" w:pos="275" w:leader="none"/>
        </w:tabs>
        <w:spacing w:before="0" w:after="0" w:line="242"/>
        <w:ind w:right="140" w:left="9" w:hanging="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оквиру овог документа, под избеглим, ИРЛ и повратницима подразумевају се сва лица која су била изложена присилном напуштању својих домова и расељавању због ратова на простору бивших југословенских република и Косову и Метохији, укључујући и она лица која су у међувремену стекла статус држављана Републике Србије, али и даље имају нерешене егзистенцијалне проблеме настале у току избегличког статуса, као и статус повратника по основу Споразума о реадмисији.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140" w:left="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Сходно члану 17. Закона о управљању миграцијама, Локални акциони план за унапређење положаја избеглих, интерно расељених лица и повратника по основу реадмисије у општини Сента за период 2024-2028. израђен је у складу са политиком и правцима деловања дефинисаним Националном стратегијом за управљање миграцијама и другим законима и националним стратешким документима од значаја за ову област.</w:t>
      </w:r>
    </w:p>
    <w:p>
      <w:pPr>
        <w:spacing w:before="0" w:after="0" w:line="251"/>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140" w:left="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Креирање и спровођење локалног акционог плана за унапређење положаја избеглих, ИРЛ и повратника се третира као део ширег механизма смањења сиромаштва и социјалне искључености осетљивих друштвених група.</w:t>
      </w:r>
    </w:p>
    <w:p>
      <w:pPr>
        <w:spacing w:before="0" w:after="0" w:line="251"/>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1"/>
        <w:ind w:right="140" w:left="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Према Конвенцији УН о статусу избеглица (1951), избеглица је особа која је из основног страха да ће бити прогоњена због своје расе, националне припадности, припадности одређеној друштвеној групи или због политичког уверења, напустила своју државу и не може или због поменутог страха не жели да се у њу врати. Појам избеглице је Протоколом из 1967. године проширен и на особе које су биле изложене ратним страдањима или другим облицима насиља и зато одлучиле или биле принуђене да напусте своју државу.</w:t>
      </w:r>
    </w:p>
    <w:p>
      <w:pPr>
        <w:spacing w:before="0" w:after="0" w:line="311"/>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9"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 постоји правна дефиниција за интерно расељена лица као што постоји за избеглице. Међутим, извештај УН користи дефиницију: интерно расељена лица су лица или групе лица, која су била присиљена да побегну или да напусте своје домове или места уобичајеног боравишта, а посебно као резултат или како би се избегли ефекти оружаног сукоба, генерализирана ситуацијама насиља, кршења људских права или природних катастрофа и који нису прешли међународно признате државне границе. Зато што се налазе у границама своје земље, могућности њихове међународне заштите су ограничене. Иако их, за разлику од избеглица, не штити Специјална конвенција УН, и даље их штите национални закони, међународно хуманитарно право и међународни правни акти у области људских права.</w:t>
      </w:r>
    </w:p>
    <w:p>
      <w:pPr>
        <w:spacing w:before="0" w:after="0" w:line="298"/>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9"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Проблем миграције и реадмисије</w:t>
      </w:r>
    </w:p>
    <w:p>
      <w:pPr>
        <w:spacing w:before="0" w:after="0" w:line="303"/>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51"/>
        <w:ind w:right="0" w:left="9" w:firstLine="0"/>
        <w:jc w:val="both"/>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3"/>
          <w:shd w:fill="auto" w:val="clear"/>
        </w:rPr>
        <w:t xml:space="preserve">Велики број наших држављана је током 90-тих напустио Републику Србију и боравио у земљама Западне Европе. Не зна се тачан број лица из Србије који незаконито бораве или им је истекао основ за боравак у земљама ЕУ и који би требали да буду враћени у матичну државу.</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268"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268"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Ова лица се враћају у матичну земљу у поступку који се зове реадмисија.</w:t>
      </w:r>
    </w:p>
    <w:p>
      <w:pPr>
        <w:spacing w:before="0" w:after="0" w:line="305"/>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Дана 18.09.2007. године потписан је Споразум између Републике Србије и Европске заједнице о реадмисији лица која незаконито бораве.</w:t>
      </w:r>
    </w:p>
    <w:p>
      <w:pPr>
        <w:spacing w:before="0" w:after="0" w:line="307"/>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Овим Споразумом, Србија се обавезала да закључи билатералне споразуме, усклађене са овим споразумом, са оним земљама које не примењују у потпуности Шенгенске правне тековине и то са: Данском, Исландом, Норвешком и Швајцарском.</w:t>
      </w:r>
    </w:p>
    <w:p>
      <w:pPr>
        <w:spacing w:before="0" w:after="0" w:line="306"/>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Народна скупштина Републике Србије је 07.11.2007. године донела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Закон о потврђивању Споразума између Републике Србије и ЕУ о реадмисији лица која незаконито бораве“.</w:t>
      </w:r>
    </w:p>
    <w:p>
      <w:pPr>
        <w:spacing w:before="0" w:after="0" w:line="307"/>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Закон о потврђивању Споразума не дира у права, обавезе и надлежности која проистичу из међународног права, Европске конвенције о заштити људских права и основних слобода и Конвенције о статусу избеглица. Споразум о реадмисији са ЕУ ступио је на снагу 01. јануара 2008. године. Овим Споразумом Република Србија је уредила област повратка илегалних миграната у матичну земљу. Споразумом је регулисана процедура повратка и прихвата ових лица.</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Скупштина општине Сента је 2007. године усвојила Декларацију поводом потписивања Споразума о реадмисији:</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259"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259"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основу члана 78. Статута општине Сента („Службени лист општине Сента“ бр.1/06-пречишћени текст и 2/07), Скупштина општине Сента на својој седници одржаној 12. октобра 2007. године донела је следећу</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ДЕКЛАРАЦИЈУ</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119"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поводом потписивања Споразума о реадмисији</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45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w:t>
      </w:r>
    </w:p>
    <w:p>
      <w:pPr>
        <w:spacing w:before="0" w:after="0" w:line="283"/>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Скупштина општине Сента је става да лица која бораве нелегално у земљама Европске Уније</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215"/>
        </w:numPr>
        <w:tabs>
          <w:tab w:val="left" w:pos="275" w:leader="none"/>
        </w:tabs>
        <w:spacing w:before="0" w:after="0" w:line="240"/>
        <w:ind w:right="0" w:left="100" w:hanging="2"/>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која ће бити враћена у земљу порекла у складу са Споразумом о реадмисији потписаног 18. септембра 2007. године буду враћена на територије порекла.</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61"/>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44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II.</w:t>
      </w:r>
    </w:p>
    <w:p>
      <w:pPr>
        <w:spacing w:before="0" w:after="0" w:line="298"/>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Сходно ставу I. Скупштина општине изјављује спремност за прихват лица која су пореклом са територије општине Сента.</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61"/>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436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III.</w:t>
      </w:r>
    </w:p>
    <w:p>
      <w:pPr>
        <w:spacing w:before="0" w:after="0" w:line="264"/>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Ова декларација се објављује у „Службеном листу општине Сента“</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37"/>
        <w:ind w:right="0" w:left="0" w:firstLine="0"/>
        <w:jc w:val="left"/>
        <w:rPr>
          <w:rFonts w:ascii="Times New Roman" w:hAnsi="Times New Roman" w:cs="Times New Roman" w:eastAsia="Times New Roman"/>
          <w:color w:val="auto"/>
          <w:spacing w:val="0"/>
          <w:position w:val="0"/>
          <w:sz w:val="22"/>
          <w:shd w:fill="auto" w:val="clear"/>
        </w:rPr>
      </w:pPr>
    </w:p>
    <w:p>
      <w:pPr>
        <w:tabs>
          <w:tab w:val="left" w:pos="642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Република Србија</w:t>
        <w:tab/>
        <w:t xml:space="preserve">     Председник СО</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1182"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АП Војводина-Општина Сента                                                      Борбељ Ференц с.р.                          Скупштина општине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Број: 561-10/V-07</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48"/>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279"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279"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Локални акциони план за унапређење положаја избеглих, интерно расељених лица и повратника доноси се на период од пет година са детаљном разрадом активности за период од 2024. до 2028. године.</w:t>
      </w:r>
    </w:p>
    <w:p>
      <w:pPr>
        <w:spacing w:before="0" w:after="0" w:line="25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Процес израде Локалног акционог плана за унапређење положаја избеглих, интерно расељених лица и повратника у општини Сента заснивао се на интерактивном приступу чије су основне методолошке карактеристике следеће: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239"/>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Локални –</w:t>
      </w:r>
      <w:r>
        <w:rPr>
          <w:rFonts w:ascii="Times New Roman" w:hAnsi="Times New Roman" w:cs="Times New Roman" w:eastAsia="Times New Roman"/>
          <w:color w:val="auto"/>
          <w:spacing w:val="0"/>
          <w:position w:val="0"/>
          <w:sz w:val="24"/>
          <w:shd w:fill="auto" w:val="clear"/>
        </w:rPr>
        <w:t xml:space="preserve"> спроведен је у локалној заједници и уважава локалне специфичности;</w:t>
      </w:r>
    </w:p>
    <w:p>
      <w:pPr>
        <w:numPr>
          <w:ilvl w:val="0"/>
          <w:numId w:val="239"/>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Партиципативан –</w:t>
      </w:r>
      <w:r>
        <w:rPr>
          <w:rFonts w:ascii="Times New Roman" w:hAnsi="Times New Roman" w:cs="Times New Roman" w:eastAsia="Times New Roman"/>
          <w:color w:val="auto"/>
          <w:spacing w:val="0"/>
          <w:position w:val="0"/>
          <w:sz w:val="24"/>
          <w:shd w:fill="auto" w:val="clear"/>
        </w:rPr>
        <w:t xml:space="preserve"> укључио је различите битне актере процеса друштвено организоване подршке избеглим, интерно расељеним лицима и повратницима у локалној заједници;</w:t>
      </w:r>
    </w:p>
    <w:p>
      <w:pPr>
        <w:numPr>
          <w:ilvl w:val="0"/>
          <w:numId w:val="239"/>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Утемељен на реалним околностима –</w:t>
      </w:r>
      <w:r>
        <w:rPr>
          <w:rFonts w:ascii="Times New Roman" w:hAnsi="Times New Roman" w:cs="Times New Roman" w:eastAsia="Times New Roman"/>
          <w:color w:val="auto"/>
          <w:spacing w:val="0"/>
          <w:position w:val="0"/>
          <w:sz w:val="24"/>
          <w:shd w:fill="auto" w:val="clear"/>
        </w:rPr>
        <w:t xml:space="preserve"> анализа расположивих ресурса и потреба ради унапређења положаја избеглих, интерно расељених лица и повратника;</w:t>
      </w:r>
    </w:p>
    <w:p>
      <w:pPr>
        <w:numPr>
          <w:ilvl w:val="0"/>
          <w:numId w:val="239"/>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Прилагођен ситуацији</w:t>
      </w:r>
      <w:r>
        <w:rPr>
          <w:rFonts w:ascii="Times New Roman" w:hAnsi="Times New Roman" w:cs="Times New Roman" w:eastAsia="Times New Roman"/>
          <w:color w:val="auto"/>
          <w:spacing w:val="0"/>
          <w:position w:val="0"/>
          <w:sz w:val="24"/>
          <w:shd w:fill="auto" w:val="clear"/>
        </w:rPr>
        <w:t xml:space="preserve"> у локалној заједници, актерима и позитивној промени којој се тежи;</w:t>
      </w:r>
    </w:p>
    <w:p>
      <w:pPr>
        <w:numPr>
          <w:ilvl w:val="0"/>
          <w:numId w:val="239"/>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Користи савремене методе</w:t>
      </w:r>
      <w:r>
        <w:rPr>
          <w:rFonts w:ascii="Times New Roman" w:hAnsi="Times New Roman" w:cs="Times New Roman" w:eastAsia="Times New Roman"/>
          <w:color w:val="auto"/>
          <w:spacing w:val="0"/>
          <w:position w:val="0"/>
          <w:sz w:val="24"/>
          <w:shd w:fill="auto" w:val="clear"/>
        </w:rPr>
        <w:t xml:space="preserve"> планирања и анализе свих важних елемената потребних за доношење одлука;</w:t>
      </w:r>
    </w:p>
    <w:p>
      <w:pPr>
        <w:numPr>
          <w:ilvl w:val="0"/>
          <w:numId w:val="239"/>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Подстиче одговоран однос</w:t>
      </w:r>
      <w:r>
        <w:rPr>
          <w:rFonts w:ascii="Times New Roman" w:hAnsi="Times New Roman" w:cs="Times New Roman" w:eastAsia="Times New Roman"/>
          <w:color w:val="auto"/>
          <w:spacing w:val="0"/>
          <w:position w:val="0"/>
          <w:sz w:val="24"/>
          <w:shd w:fill="auto" w:val="clear"/>
        </w:rPr>
        <w:t xml:space="preserve"> различитих друштвених актера у локалној заједници.</w:t>
      </w:r>
    </w:p>
    <w:p>
      <w:pPr>
        <w:spacing w:before="0" w:after="0" w:line="297"/>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2"/>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потребе процеса, прикупљање и анализу основних података о положају и потребама избеглих, интерно расељених лица и повратника у општини Сента коришћени су следећи извори: резултати интервјуа са потенцијалним корисницима и састанка са локалним актерима, статистички подаци, различити извештаји и документи, подаци Комесаријата за избеглице Републике Србије, Општинског повереништва за избеглице, Општинске организације Црвеног крста итд.</w:t>
      </w:r>
    </w:p>
    <w:p>
      <w:pPr>
        <w:spacing w:before="0" w:after="0" w:line="294"/>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243"/>
        </w:numPr>
        <w:tabs>
          <w:tab w:val="left" w:pos="274" w:leader="none"/>
        </w:tabs>
        <w:spacing w:before="0" w:after="0" w:line="242"/>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циљу израде Локалног акционог плана за унапређење положаја избеглих, интерно расељених лица и повратника у oпштини Сента, Општинско веће општине Сента формирало је Савет за миграцијe и трајна решења општине Сента који чине представници локалне самоуправе као носиоца процеса и формалног доносиоца овог документа, укључујући и Повереништво за избеглице, представници институција које се на локалном нивоу баве питањима за избеглих, интерно расељених лица и повратника.</w:t>
      </w:r>
    </w:p>
    <w:p>
      <w:pPr>
        <w:spacing w:before="0" w:after="0" w:line="287"/>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Задаци  Савета су:</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246"/>
        </w:numPr>
        <w:spacing w:before="0" w:after="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прати и извештава Комесаријат о миграцијама на територији општине Сента;</w:t>
      </w:r>
    </w:p>
    <w:p>
      <w:pPr>
        <w:numPr>
          <w:ilvl w:val="0"/>
          <w:numId w:val="246"/>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предлаже програме, мере и планове активности које треба предузети ради ефикасног управљања миграцијама на територији општине Сента;</w:t>
      </w:r>
    </w:p>
    <w:p>
      <w:pPr>
        <w:numPr>
          <w:ilvl w:val="0"/>
          <w:numId w:val="246"/>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обавља друге послове у области управљања миграцијама, у складу са законом.</w:t>
      </w:r>
    </w:p>
    <w:p>
      <w:pPr>
        <w:spacing w:before="0" w:after="0" w:line="29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Општина Сента је исказала спремност израдом овог документа и формирањем Савета за миграције и трајна решења да унапреди положај избеглих, интерно расељених лица и повратника, те да успостави платформу која ће бити полазна основа за стратешко решавање проблема ове групе становништва.</w:t>
      </w:r>
    </w:p>
    <w:p>
      <w:pPr>
        <w:spacing w:before="0" w:after="0" w:line="30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0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0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279"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279"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159"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Резиме Локалног акционог плана за унапређење положаја избеглих,</w:t>
      </w:r>
    </w:p>
    <w:p>
      <w:pPr>
        <w:spacing w:before="0" w:after="0" w:line="240"/>
        <w:ind w:right="-159"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интерно расељених лица и повратника по основу реадмисије</w:t>
      </w:r>
    </w:p>
    <w:p>
      <w:pPr>
        <w:spacing w:before="0" w:after="0" w:line="240"/>
        <w:ind w:right="-219"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 општини Сента за период 2024. -2028. </w:t>
      </w:r>
    </w:p>
    <w:p>
      <w:pPr>
        <w:spacing w:before="0" w:after="0" w:line="327"/>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70" w:left="60" w:firstLine="0"/>
        <w:jc w:val="both"/>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3"/>
          <w:shd w:fill="auto" w:val="clear"/>
        </w:rPr>
        <w:t xml:space="preserve">Локални акциони план за унапређење положаја избеглих, интерно расељених лица и повратника по основу реадмисије у општини Сента за период 2024. -2028. је стратешки документ који изражава дугорочна опредељења локалне самоуправе да побољша услове живота и могућности за интеграцију избеглих, интерно расељених лица и повратника у локалну заједницу. Овај План је усмерен на све особе у општини Сента које су биле изложене присилним миграцијама и егзистенцијалним потешкоћама, а бораве на територији општине Сента укључујући повратнике по основу споразума о реадмисији.</w:t>
      </w:r>
    </w:p>
    <w:p>
      <w:pPr>
        <w:spacing w:before="0" w:after="0" w:line="283"/>
        <w:ind w:right="7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70" w:left="60" w:firstLine="0"/>
        <w:jc w:val="both"/>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3"/>
          <w:shd w:fill="auto" w:val="clear"/>
        </w:rPr>
        <w:t xml:space="preserve">Када је реч о повратницима по основу Споразума о реадмисији, према подацима Повереништва за избеглице општине Сента, на територији општине Сента нема повратника.</w:t>
      </w:r>
    </w:p>
    <w:p>
      <w:pPr>
        <w:spacing w:before="0" w:after="0" w:line="281"/>
        <w:ind w:right="7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70" w:left="60" w:firstLine="0"/>
        <w:jc w:val="both"/>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3"/>
          <w:shd w:fill="auto" w:val="clear"/>
        </w:rPr>
        <w:t xml:space="preserve">На територији општине Сента има две породице интерно расељених лица, према подацима Повереништва за избеглице општине Сента.</w:t>
      </w:r>
    </w:p>
    <w:p>
      <w:pPr>
        <w:spacing w:before="0" w:after="0" w:line="281"/>
        <w:ind w:right="7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70" w:left="0" w:firstLine="0"/>
        <w:jc w:val="both"/>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3"/>
          <w:shd w:fill="auto" w:val="clear"/>
        </w:rPr>
        <w:t xml:space="preserve">На територији општине Сента борави 23 избегличке породице са, укупно, 58 чланова које су добиле држављанство Републике Србије.</w:t>
      </w:r>
    </w:p>
    <w:p>
      <w:pPr>
        <w:spacing w:before="0" w:after="0" w:line="28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60" w:firstLine="0"/>
        <w:jc w:val="left"/>
        <w:rPr>
          <w:rFonts w:ascii="Times New Roman" w:hAnsi="Times New Roman" w:cs="Times New Roman" w:eastAsia="Times New Roman"/>
          <w:b/>
          <w:color w:val="auto"/>
          <w:spacing w:val="0"/>
          <w:position w:val="0"/>
          <w:sz w:val="23"/>
          <w:shd w:fill="auto" w:val="clear"/>
        </w:rPr>
      </w:pPr>
      <w:r>
        <w:rPr>
          <w:rFonts w:ascii="Times New Roman" w:hAnsi="Times New Roman" w:cs="Times New Roman" w:eastAsia="Times New Roman"/>
          <w:b/>
          <w:color w:val="auto"/>
          <w:spacing w:val="0"/>
          <w:position w:val="0"/>
          <w:sz w:val="23"/>
          <w:shd w:fill="auto" w:val="clear"/>
        </w:rPr>
        <w:t xml:space="preserve">Општи циљ ЛАП-а:</w:t>
      </w:r>
    </w:p>
    <w:p>
      <w:pPr>
        <w:spacing w:before="0" w:after="0" w:line="277"/>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70" w:left="60" w:firstLine="0"/>
        <w:jc w:val="both"/>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3"/>
          <w:shd w:fill="auto" w:val="clear"/>
        </w:rPr>
        <w:t xml:space="preserve">Побољшање социјалног положаја избеглих, интерно расељених лица и повратника у општини Сента кроз програме стамбеног збрињавања</w:t>
      </w:r>
      <w:r>
        <w:rPr>
          <w:rFonts w:ascii="Times New Roman" w:hAnsi="Times New Roman" w:cs="Times New Roman" w:eastAsia="Times New Roman"/>
          <w:b/>
          <w:color w:val="auto"/>
          <w:spacing w:val="0"/>
          <w:position w:val="0"/>
          <w:sz w:val="23"/>
          <w:shd w:fill="auto" w:val="clear"/>
        </w:rPr>
        <w:t xml:space="preserve">-</w:t>
      </w:r>
      <w:r>
        <w:rPr>
          <w:rFonts w:ascii="Times New Roman" w:hAnsi="Times New Roman" w:cs="Times New Roman" w:eastAsia="Times New Roman"/>
          <w:color w:val="auto"/>
          <w:spacing w:val="0"/>
          <w:position w:val="0"/>
          <w:sz w:val="23"/>
          <w:shd w:fill="auto" w:val="clear"/>
        </w:rPr>
        <w:t xml:space="preserve">куповином кућа са окућницом и доделом пакета грађевинског материјала за адаптацију постојећих неусловних објеката, као и програмима за економско оснаживање.</w:t>
      </w:r>
    </w:p>
    <w:p>
      <w:pPr>
        <w:spacing w:before="0" w:after="0" w:line="280"/>
        <w:ind w:right="7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70" w:left="60" w:firstLine="0"/>
        <w:jc w:val="left"/>
        <w:rPr>
          <w:rFonts w:ascii="Times New Roman" w:hAnsi="Times New Roman" w:cs="Times New Roman" w:eastAsia="Times New Roman"/>
          <w:b/>
          <w:color w:val="auto"/>
          <w:spacing w:val="0"/>
          <w:position w:val="0"/>
          <w:sz w:val="23"/>
          <w:shd w:fill="auto" w:val="clear"/>
        </w:rPr>
      </w:pPr>
      <w:r>
        <w:rPr>
          <w:rFonts w:ascii="Times New Roman" w:hAnsi="Times New Roman" w:cs="Times New Roman" w:eastAsia="Times New Roman"/>
          <w:b/>
          <w:color w:val="auto"/>
          <w:spacing w:val="0"/>
          <w:position w:val="0"/>
          <w:sz w:val="23"/>
          <w:shd w:fill="auto" w:val="clear"/>
        </w:rPr>
        <w:t xml:space="preserve">Приоритетне циљне групе:</w:t>
      </w:r>
    </w:p>
    <w:p>
      <w:pPr>
        <w:spacing w:before="0" w:after="0" w:line="281"/>
        <w:ind w:right="7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70" w:left="60" w:firstLine="0"/>
        <w:jc w:val="both"/>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3"/>
          <w:shd w:fill="auto" w:val="clear"/>
        </w:rPr>
        <w:t xml:space="preserve">Циљне групе чине вишечлане и вишегенерацијске породице, старачка домаћинства без породичне подршке млађих чланова, укључујући и самце, радно способна, незапослена, избегла и интерно расељена лица и повратници, нарочито они из породица које имају члана који је особа са инвалидитетом, хронично болестан или дете са сметњама у развоју.</w:t>
      </w:r>
    </w:p>
    <w:p>
      <w:pPr>
        <w:spacing w:before="0" w:after="0" w:line="240"/>
        <w:ind w:right="7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70" w:left="60" w:firstLine="0"/>
        <w:jc w:val="left"/>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b/>
          <w:color w:val="auto"/>
          <w:spacing w:val="0"/>
          <w:position w:val="0"/>
          <w:sz w:val="23"/>
          <w:shd w:fill="auto" w:val="clear"/>
        </w:rPr>
        <w:t xml:space="preserve">Специфични циљеви</w:t>
      </w:r>
      <w:r>
        <w:rPr>
          <w:rFonts w:ascii="Times New Roman" w:hAnsi="Times New Roman" w:cs="Times New Roman" w:eastAsia="Times New Roman"/>
          <w:color w:val="auto"/>
          <w:spacing w:val="0"/>
          <w:position w:val="0"/>
          <w:sz w:val="23"/>
          <w:shd w:fill="auto" w:val="clear"/>
        </w:rPr>
        <w:t xml:space="preserve">:</w:t>
      </w:r>
    </w:p>
    <w:p>
      <w:pPr>
        <w:spacing w:before="0" w:after="0" w:line="273"/>
        <w:ind w:right="7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70" w:left="0" w:firstLine="0"/>
        <w:jc w:val="left"/>
        <w:rPr>
          <w:rFonts w:ascii="Times New Roman" w:hAnsi="Times New Roman" w:cs="Times New Roman" w:eastAsia="Times New Roman"/>
          <w:i/>
          <w:color w:val="auto"/>
          <w:spacing w:val="0"/>
          <w:position w:val="0"/>
          <w:sz w:val="23"/>
          <w:shd w:fill="auto" w:val="clear"/>
        </w:rPr>
      </w:pPr>
      <w:r>
        <w:rPr>
          <w:rFonts w:ascii="Times New Roman" w:hAnsi="Times New Roman" w:cs="Times New Roman" w:eastAsia="Times New Roman"/>
          <w:i/>
          <w:color w:val="auto"/>
          <w:spacing w:val="0"/>
          <w:position w:val="0"/>
          <w:sz w:val="23"/>
          <w:shd w:fill="auto" w:val="clear"/>
        </w:rPr>
        <w:t xml:space="preserve">Специфични циљ 1</w:t>
      </w:r>
    </w:p>
    <w:p>
      <w:pPr>
        <w:spacing w:before="0" w:after="0" w:line="240"/>
        <w:ind w:right="70" w:left="0" w:firstLine="0"/>
        <w:jc w:val="left"/>
        <w:rPr>
          <w:rFonts w:ascii="Times New Roman" w:hAnsi="Times New Roman" w:cs="Times New Roman" w:eastAsia="Times New Roman"/>
          <w:color w:val="auto"/>
          <w:spacing w:val="0"/>
          <w:position w:val="0"/>
          <w:sz w:val="22"/>
          <w:shd w:fill="auto" w:val="clear"/>
        </w:rPr>
      </w:pPr>
    </w:p>
    <w:p>
      <w:pPr>
        <w:numPr>
          <w:ilvl w:val="0"/>
          <w:numId w:val="276"/>
        </w:numPr>
        <w:tabs>
          <w:tab w:val="left" w:pos="283" w:leader="none"/>
        </w:tabs>
        <w:spacing w:before="0" w:after="0" w:line="240"/>
        <w:ind w:right="70" w:left="0" w:firstLine="6"/>
        <w:jc w:val="both"/>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3"/>
          <w:shd w:fill="auto" w:val="clear"/>
        </w:rPr>
        <w:t xml:space="preserve">периоду од 2024. до краја 2028. године, у циљу стамбеног</w:t>
      </w:r>
      <w:r>
        <w:rPr>
          <w:rFonts w:ascii="Times New Roman" w:hAnsi="Times New Roman" w:cs="Times New Roman" w:eastAsia="Times New Roman"/>
          <w:color w:val="auto"/>
          <w:spacing w:val="0"/>
          <w:position w:val="0"/>
          <w:sz w:val="22"/>
          <w:shd w:fill="auto" w:val="clear"/>
        </w:rPr>
        <w:t xml:space="preserve"> збрињавања избеглих, интерно расељених лица и повратника обезбедити откуп кућа са окућницом за најмање три породице избеглица.</w:t>
      </w:r>
    </w:p>
    <w:p>
      <w:pPr>
        <w:spacing w:before="0" w:after="0" w:line="394"/>
        <w:ind w:right="7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70" w:left="60" w:firstLine="0"/>
        <w:jc w:val="left"/>
        <w:rPr>
          <w:rFonts w:ascii="Times New Roman" w:hAnsi="Times New Roman" w:cs="Times New Roman" w:eastAsia="Times New Roman"/>
          <w:i/>
          <w:color w:val="auto"/>
          <w:spacing w:val="0"/>
          <w:position w:val="0"/>
          <w:sz w:val="23"/>
          <w:shd w:fill="auto" w:val="clear"/>
        </w:rPr>
      </w:pPr>
      <w:r>
        <w:rPr>
          <w:rFonts w:ascii="Times New Roman" w:hAnsi="Times New Roman" w:cs="Times New Roman" w:eastAsia="Times New Roman"/>
          <w:i/>
          <w:color w:val="auto"/>
          <w:spacing w:val="0"/>
          <w:position w:val="0"/>
          <w:sz w:val="23"/>
          <w:shd w:fill="auto" w:val="clear"/>
        </w:rPr>
        <w:t xml:space="preserve">Специфични циљ 2</w:t>
      </w:r>
    </w:p>
    <w:p>
      <w:pPr>
        <w:spacing w:before="0" w:after="0" w:line="240"/>
        <w:ind w:right="70" w:left="0" w:firstLine="0"/>
        <w:jc w:val="left"/>
        <w:rPr>
          <w:rFonts w:ascii="Times New Roman" w:hAnsi="Times New Roman" w:cs="Times New Roman" w:eastAsia="Times New Roman"/>
          <w:color w:val="auto"/>
          <w:spacing w:val="0"/>
          <w:position w:val="0"/>
          <w:sz w:val="22"/>
          <w:shd w:fill="auto" w:val="clear"/>
        </w:rPr>
      </w:pPr>
    </w:p>
    <w:p>
      <w:pPr>
        <w:numPr>
          <w:ilvl w:val="0"/>
          <w:numId w:val="280"/>
        </w:numPr>
        <w:tabs>
          <w:tab w:val="left" w:pos="341" w:leader="none"/>
        </w:tabs>
        <w:spacing w:before="0" w:after="0" w:line="240"/>
        <w:ind w:right="70" w:left="60" w:firstLine="4"/>
        <w:jc w:val="both"/>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3"/>
          <w:shd w:fill="auto" w:val="clear"/>
        </w:rPr>
        <w:t xml:space="preserve">периоду од 2024. до краја 2028. године пружити подршку за најмање три породице избеглих, интерно расељених лица и повратника доделом пакета грађевинског материјала за адаптацију постојећих неусловних објеката</w:t>
      </w:r>
      <w:r>
        <w:rPr>
          <w:rFonts w:ascii="Arial" w:hAnsi="Arial" w:cs="Arial" w:eastAsia="Arial"/>
          <w:color w:val="auto"/>
          <w:spacing w:val="0"/>
          <w:position w:val="0"/>
          <w:sz w:val="23"/>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60" w:firstLine="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Специфични циљ 3</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284"/>
        </w:numPr>
        <w:tabs>
          <w:tab w:val="left" w:pos="331" w:leader="none"/>
        </w:tabs>
        <w:spacing w:before="0" w:after="0" w:line="240"/>
        <w:ind w:right="70" w:left="60" w:firstLine="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периоду од 2024. до краја 2028. године пружити подршку за најмање три породице избеглих, интерно расељених лица и повратника за набавку и доделу робе и материјала за покретање, развој и унапређење доходовних активности у пољопривредној, занатској, услужној или другој области.</w:t>
      </w:r>
    </w:p>
    <w:p>
      <w:pPr>
        <w:spacing w:before="0" w:after="0" w:line="268"/>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159"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159"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2"/>
        <w:ind w:right="180" w:left="8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Процењује се да је за реализацију Локалног акционог плана за унапређење положаја избеглих, интерно расељених лица и повратника по основу реадмисије у општини Сента за период 2024. – 2028. године, односно у петогодишњем периоду потребно обезбедити износ од 5.100.000,00 динара. Износ од 510.000,00 динара, што представља 10% од укупне вредности планираних активности ће бити обезбеђен из буџета општине Сента у планираном петогодишњем периоду. Преосталих 90% односно 4.590.000,00 динара ће бити обезбеђено из осталих извора финансирања.</w:t>
      </w:r>
    </w:p>
    <w:p>
      <w:pPr>
        <w:spacing w:before="0" w:after="0" w:line="297"/>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180" w:left="8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Реализација пројектних активности као и оцена успешности примене Локалног акционог плана и доношења евентуалних корективних мера биће дефинисани планом мониторинга (праћења) и евалуације (оцењивање).</w:t>
      </w:r>
    </w:p>
    <w:p>
      <w:pPr>
        <w:spacing w:before="0" w:after="0" w:line="299"/>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292"/>
        </w:numPr>
        <w:tabs>
          <w:tab w:val="left" w:pos="368" w:leader="none"/>
        </w:tabs>
        <w:spacing w:before="0" w:after="0" w:line="240"/>
        <w:ind w:right="180" w:left="80" w:firstLine="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току периода имплементације, припремиће се редовни годишњи извештаји, а локална јавност ће се редовно обавештавати о свим спроведеним активностима.</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4"/>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295"/>
        </w:numPr>
        <w:tabs>
          <w:tab w:val="left" w:pos="2660" w:leader="none"/>
        </w:tabs>
        <w:spacing w:before="0" w:after="0" w:line="240"/>
        <w:ind w:right="0" w:left="2660" w:hanging="276"/>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ОПШТИ ПОДАЦИ О ОПШТИНИ СЕНТА</w:t>
      </w:r>
    </w:p>
    <w:p>
      <w:pPr>
        <w:spacing w:before="0" w:after="0" w:line="362"/>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Географске и административне карактеристике</w:t>
      </w:r>
    </w:p>
    <w:p>
      <w:pPr>
        <w:spacing w:before="0" w:after="0" w:line="283"/>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Општина Сента се налази на северу Републике Србије, северном делу Аутономне покрајине Војводине, североисточном делу Бачке. Граничи се са општином Чока на истоку, где природну границу представља река Тиса. На западу поток Чик представља границу са Бачком Тополом, а на северу према Кањижи и Суботици, на југу према Ади, границе су вештачки повучене. Укупна површина општине износи 293,4 km2. Општину Сента чини пет насељених места: Сента, Горњи Брег, Богараш, Кеви и Торњош. Општина Сента, иако се територијално налази у североисточном делу Бачке, административно припада Севернобанатском управном округу.</w:t>
      </w:r>
    </w:p>
    <w:p>
      <w:pPr>
        <w:spacing w:before="0" w:after="0" w:line="28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Удаљеност Сенте од неких значајнијих центара је следећа:</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7743" w:dyaOrig="5464">
          <v:rect xmlns:o="urn:schemas-microsoft-com:office:office" xmlns:v="urn:schemas-microsoft-com:vml" id="rectole0000000001" style="width:387.150000pt;height:273.2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620" w:leader="none"/>
        </w:tabs>
        <w:spacing w:before="0" w:after="0" w:line="240"/>
        <w:ind w:right="0" w:left="0" w:firstLine="0"/>
        <w:jc w:val="left"/>
        <w:rPr>
          <w:rFonts w:ascii="Wingdings" w:hAnsi="Wingdings" w:cs="Wingdings" w:eastAsia="Wingdings"/>
          <w:color w:val="auto"/>
          <w:spacing w:val="0"/>
          <w:position w:val="0"/>
          <w:sz w:val="24"/>
          <w:shd w:fill="auto" w:val="clear"/>
          <w:vertAlign w:val="superscript"/>
        </w:rPr>
      </w:pPr>
      <w:r>
        <w:rPr>
          <w:rFonts w:ascii="Times New Roman" w:hAnsi="Times New Roman" w:cs="Times New Roman" w:eastAsia="Times New Roman"/>
          <w:color w:val="auto"/>
          <w:spacing w:val="0"/>
          <w:position w:val="0"/>
          <w:sz w:val="24"/>
          <w:shd w:fill="auto" w:val="clear"/>
        </w:rPr>
        <w:t xml:space="preserve">Суботица:60 км</w:t>
      </w:r>
    </w:p>
    <w:p>
      <w:pPr>
        <w:spacing w:before="0" w:after="0" w:line="240"/>
        <w:ind w:right="0" w:left="0" w:firstLine="0"/>
        <w:jc w:val="left"/>
        <w:rPr>
          <w:rFonts w:ascii="Wingdings" w:hAnsi="Wingdings" w:cs="Wingdings" w:eastAsia="Wingdings"/>
          <w:color w:val="auto"/>
          <w:spacing w:val="0"/>
          <w:position w:val="0"/>
          <w:sz w:val="24"/>
          <w:shd w:fill="auto" w:val="clear"/>
          <w:vertAlign w:val="superscript"/>
        </w:rPr>
      </w:pPr>
    </w:p>
    <w:p>
      <w:pPr>
        <w:tabs>
          <w:tab w:val="left" w:pos="620" w:leader="none"/>
        </w:tabs>
        <w:spacing w:before="0" w:after="0" w:line="240"/>
        <w:ind w:right="0" w:left="0" w:firstLine="0"/>
        <w:jc w:val="left"/>
        <w:rPr>
          <w:rFonts w:ascii="Wingdings" w:hAnsi="Wingdings" w:cs="Wingdings" w:eastAsia="Wingdings"/>
          <w:color w:val="auto"/>
          <w:spacing w:val="0"/>
          <w:position w:val="0"/>
          <w:sz w:val="24"/>
          <w:shd w:fill="auto" w:val="clear"/>
          <w:vertAlign w:val="superscript"/>
        </w:rPr>
      </w:pPr>
      <w:r>
        <w:rPr>
          <w:rFonts w:ascii="Times New Roman" w:hAnsi="Times New Roman" w:cs="Times New Roman" w:eastAsia="Times New Roman"/>
          <w:color w:val="auto"/>
          <w:spacing w:val="0"/>
          <w:position w:val="0"/>
          <w:sz w:val="24"/>
          <w:shd w:fill="auto" w:val="clear"/>
        </w:rPr>
        <w:t xml:space="preserve">Кикинда:39 км</w:t>
      </w:r>
    </w:p>
    <w:p>
      <w:pPr>
        <w:spacing w:before="0" w:after="0" w:line="240"/>
        <w:ind w:right="0" w:left="0" w:firstLine="0"/>
        <w:jc w:val="left"/>
        <w:rPr>
          <w:rFonts w:ascii="Wingdings" w:hAnsi="Wingdings" w:cs="Wingdings" w:eastAsia="Wingdings"/>
          <w:color w:val="auto"/>
          <w:spacing w:val="0"/>
          <w:position w:val="0"/>
          <w:sz w:val="24"/>
          <w:shd w:fill="auto" w:val="clear"/>
          <w:vertAlign w:val="superscript"/>
        </w:rPr>
      </w:pPr>
    </w:p>
    <w:p>
      <w:pPr>
        <w:tabs>
          <w:tab w:val="left" w:pos="620" w:leader="none"/>
        </w:tabs>
        <w:spacing w:before="0" w:after="0" w:line="240"/>
        <w:ind w:right="0" w:left="0" w:firstLine="0"/>
        <w:jc w:val="left"/>
        <w:rPr>
          <w:rFonts w:ascii="Wingdings" w:hAnsi="Wingdings" w:cs="Wingdings" w:eastAsia="Wingdings"/>
          <w:color w:val="auto"/>
          <w:spacing w:val="0"/>
          <w:position w:val="0"/>
          <w:sz w:val="24"/>
          <w:shd w:fill="auto" w:val="clear"/>
          <w:vertAlign w:val="superscript"/>
        </w:rPr>
      </w:pPr>
      <w:r>
        <w:rPr>
          <w:rFonts w:ascii="Times New Roman" w:hAnsi="Times New Roman" w:cs="Times New Roman" w:eastAsia="Times New Roman"/>
          <w:color w:val="auto"/>
          <w:spacing w:val="0"/>
          <w:position w:val="0"/>
          <w:sz w:val="24"/>
          <w:shd w:fill="auto" w:val="clear"/>
        </w:rPr>
        <w:t xml:space="preserve">Нови Сад:85 км</w:t>
      </w:r>
    </w:p>
    <w:p>
      <w:pPr>
        <w:spacing w:before="0" w:after="0" w:line="240"/>
        <w:ind w:right="0" w:left="0" w:firstLine="0"/>
        <w:jc w:val="left"/>
        <w:rPr>
          <w:rFonts w:ascii="Wingdings" w:hAnsi="Wingdings" w:cs="Wingdings" w:eastAsia="Wingdings"/>
          <w:color w:val="auto"/>
          <w:spacing w:val="0"/>
          <w:position w:val="0"/>
          <w:sz w:val="24"/>
          <w:shd w:fill="auto" w:val="clear"/>
          <w:vertAlign w:val="superscript"/>
        </w:rPr>
      </w:pPr>
    </w:p>
    <w:p>
      <w:pPr>
        <w:tabs>
          <w:tab w:val="left" w:pos="620" w:leader="none"/>
        </w:tabs>
        <w:spacing w:before="0" w:after="0" w:line="240"/>
        <w:ind w:right="0" w:left="0" w:firstLine="0"/>
        <w:jc w:val="left"/>
        <w:rPr>
          <w:rFonts w:ascii="Wingdings" w:hAnsi="Wingdings" w:cs="Wingdings" w:eastAsia="Wingdings"/>
          <w:color w:val="auto"/>
          <w:spacing w:val="0"/>
          <w:position w:val="0"/>
          <w:sz w:val="24"/>
          <w:shd w:fill="auto" w:val="clear"/>
          <w:vertAlign w:val="superscript"/>
        </w:rPr>
      </w:pPr>
      <w:r>
        <w:rPr>
          <w:rFonts w:ascii="Times New Roman" w:hAnsi="Times New Roman" w:cs="Times New Roman" w:eastAsia="Times New Roman"/>
          <w:color w:val="auto"/>
          <w:spacing w:val="0"/>
          <w:position w:val="0"/>
          <w:sz w:val="24"/>
          <w:shd w:fill="auto" w:val="clear"/>
        </w:rPr>
        <w:t xml:space="preserve">Београд:167 км</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85"/>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85"/>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85"/>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Демографске карактеристике и трендови</w:t>
      </w:r>
    </w:p>
    <w:p>
      <w:pPr>
        <w:spacing w:before="0" w:after="0" w:line="293"/>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3"/>
        <w:ind w:right="0" w:left="0" w:firstLine="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Укупан број становника општине Сента, по Попису из 2022. године износи 17.953 што је у односу на 2011. годину пад од 5.363 становника, односно 23%. У поређењу са просеком на нивоу АП Војводине (9,92%) и Републике Србије (7,51%), овај пад је већи. Од укупног броја становника општине, Мађари чине око 75%, Срби око 12%, Роми око 2,9%, док су остали у значајно мањем уделу, или по броју или по неопредељености. Сходно овоме, преовлађује католичка и мањим делом православна вероисповест. С обзиром на мултиетнички састав општине, степен толеранције у општини Сента је израженији него код неке хомогене средине. На овом простору припадници различитих нација су већ вековима уназад научили да се може живети заједно. Двојезичност је заступљена у свим институцијама локалне самоуправе, као и у школама и предшколским установама. Просечна старост становника у општини Сента је нешто виша у односу на републички ниво (43,85), али значајно виши у односу на АП Војводину (43,64 година) и износи 45,08 година. У складу са тиме је и чињеница да је индекс старења становништва значајно већи у општини и износи 5,57 у односу на Републику Србију (3,9) и  АП Војводину (4,40).</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3"/>
          <w:shd w:fill="auto" w:val="clear"/>
        </w:rPr>
      </w:pPr>
      <w:r>
        <w:rPr>
          <w:rFonts w:ascii="Times New Roman" w:hAnsi="Times New Roman" w:cs="Times New Roman" w:eastAsia="Times New Roman"/>
          <w:b/>
          <w:color w:val="auto"/>
          <w:spacing w:val="0"/>
          <w:position w:val="0"/>
          <w:sz w:val="23"/>
          <w:shd w:fill="auto" w:val="clear"/>
        </w:rPr>
        <w:t xml:space="preserve">Кретање броја запослених и незапослених</w:t>
      </w:r>
    </w:p>
    <w:p>
      <w:pPr>
        <w:spacing w:before="0" w:after="0" w:line="266"/>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Преглед броја запослених у општини Сента према привредним гранама  у 2020. години:</w:t>
      </w:r>
    </w:p>
    <w:p>
      <w:pPr>
        <w:spacing w:before="0" w:after="0" w:line="240"/>
        <w:ind w:right="0" w:left="0" w:firstLine="0"/>
        <w:jc w:val="left"/>
        <w:rPr>
          <w:rFonts w:ascii="Times New Roman" w:hAnsi="Times New Roman" w:cs="Times New Roman" w:eastAsia="Times New Roman"/>
          <w:color w:val="auto"/>
          <w:spacing w:val="0"/>
          <w:position w:val="0"/>
          <w:sz w:val="23"/>
          <w:shd w:fill="auto" w:val="clear"/>
        </w:rPr>
      </w:pPr>
    </w:p>
    <w:tbl>
      <w:tblPr/>
      <w:tblGrid>
        <w:gridCol w:w="727"/>
        <w:gridCol w:w="598"/>
        <w:gridCol w:w="503"/>
        <w:gridCol w:w="809"/>
        <w:gridCol w:w="1152"/>
        <w:gridCol w:w="470"/>
        <w:gridCol w:w="303"/>
        <w:gridCol w:w="450"/>
        <w:gridCol w:w="629"/>
        <w:gridCol w:w="487"/>
        <w:gridCol w:w="487"/>
        <w:gridCol w:w="487"/>
        <w:gridCol w:w="487"/>
        <w:gridCol w:w="487"/>
        <w:gridCol w:w="477"/>
        <w:gridCol w:w="473"/>
        <w:gridCol w:w="459"/>
        <w:gridCol w:w="747"/>
        <w:gridCol w:w="630"/>
        <w:gridCol w:w="720"/>
        <w:gridCol w:w="540"/>
        <w:gridCol w:w="450"/>
        <w:gridCol w:w="540"/>
        <w:gridCol w:w="765"/>
        <w:gridCol w:w="765"/>
      </w:tblGrid>
      <w:tr>
        <w:trPr>
          <w:trHeight w:val="728" w:hRule="auto"/>
          <w:jc w:val="center"/>
        </w:trPr>
        <w:tc>
          <w:tcPr>
            <w:tcW w:w="727" w:type="dxa"/>
            <w:vMerge w:val="restart"/>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Регион</w:t>
            </w:r>
          </w:p>
          <w:p>
            <w:pPr>
              <w:tabs>
                <w:tab w:val="left" w:pos="11610" w:leader="none"/>
              </w:tabs>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Област</w:t>
            </w:r>
          </w:p>
          <w:p>
            <w:pPr>
              <w:tabs>
                <w:tab w:val="left" w:pos="1161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Град-Општина</w:t>
            </w:r>
          </w:p>
        </w:tc>
        <w:tc>
          <w:tcPr>
            <w:tcW w:w="598" w:type="dxa"/>
            <w:vMerge w:val="restart"/>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Укупно</w:t>
            </w:r>
          </w:p>
        </w:tc>
        <w:tc>
          <w:tcPr>
            <w:tcW w:w="13317" w:type="dxa"/>
            <w:gridSpan w:val="23"/>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Запослени у правним лицима (привредна друштва, предузећа, задруге, установе и друге организације) </w:t>
            </w:r>
          </w:p>
          <w:p>
            <w:pPr>
              <w:tabs>
                <w:tab w:val="left" w:pos="1161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и предузетници, лица која самостално обављају делатност и запослени код њих</w:t>
            </w:r>
          </w:p>
        </w:tc>
      </w:tr>
      <w:tr>
        <w:trPr>
          <w:trHeight w:val="447" w:hRule="auto"/>
          <w:jc w:val="center"/>
        </w:trPr>
        <w:tc>
          <w:tcPr>
            <w:tcW w:w="727"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98"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03" w:type="dxa"/>
            <w:vMerge w:val="restart"/>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Свега</w:t>
            </w:r>
          </w:p>
        </w:tc>
        <w:tc>
          <w:tcPr>
            <w:tcW w:w="1961" w:type="dxa"/>
            <w:gridSpan w:val="2"/>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Од тога:</w:t>
            </w:r>
          </w:p>
        </w:tc>
        <w:tc>
          <w:tcPr>
            <w:tcW w:w="470" w:type="dxa"/>
            <w:vMerge w:val="restart"/>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113" w:left="113"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Пољопривреда, шумарство и рибарство</w:t>
            </w:r>
          </w:p>
        </w:tc>
        <w:tc>
          <w:tcPr>
            <w:tcW w:w="303" w:type="dxa"/>
            <w:vMerge w:val="restart"/>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113" w:left="113"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Рударство</w:t>
            </w:r>
          </w:p>
        </w:tc>
        <w:tc>
          <w:tcPr>
            <w:tcW w:w="450" w:type="dxa"/>
            <w:vMerge w:val="restart"/>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113" w:left="113"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Прерађивачка индустрија</w:t>
            </w:r>
          </w:p>
        </w:tc>
        <w:tc>
          <w:tcPr>
            <w:tcW w:w="629" w:type="dxa"/>
            <w:vMerge w:val="restart"/>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113" w:left="113"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Снабдевање електричном енергијом, гасом и паром</w:t>
            </w:r>
          </w:p>
        </w:tc>
        <w:tc>
          <w:tcPr>
            <w:tcW w:w="487" w:type="dxa"/>
            <w:vMerge w:val="restart"/>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113" w:left="113"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Снабдевање водом и управљање отпадним водама</w:t>
            </w:r>
          </w:p>
        </w:tc>
        <w:tc>
          <w:tcPr>
            <w:tcW w:w="487" w:type="dxa"/>
            <w:vMerge w:val="restart"/>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113" w:left="113"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Грађевинарство</w:t>
            </w:r>
          </w:p>
        </w:tc>
        <w:tc>
          <w:tcPr>
            <w:tcW w:w="487" w:type="dxa"/>
            <w:vMerge w:val="restart"/>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113" w:left="113"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Трговина на велико и мало и поправка моторних возила</w:t>
            </w:r>
          </w:p>
        </w:tc>
        <w:tc>
          <w:tcPr>
            <w:tcW w:w="487" w:type="dxa"/>
            <w:vMerge w:val="restart"/>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113" w:left="113"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Саобраћај и складиштење</w:t>
            </w:r>
          </w:p>
        </w:tc>
        <w:tc>
          <w:tcPr>
            <w:tcW w:w="487" w:type="dxa"/>
            <w:vMerge w:val="restart"/>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113" w:left="113"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Услуге смештаја и исхране</w:t>
            </w:r>
          </w:p>
        </w:tc>
        <w:tc>
          <w:tcPr>
            <w:tcW w:w="477" w:type="dxa"/>
            <w:vMerge w:val="restart"/>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113" w:left="113"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Информисање и комуникације</w:t>
            </w:r>
          </w:p>
        </w:tc>
        <w:tc>
          <w:tcPr>
            <w:tcW w:w="473" w:type="dxa"/>
            <w:vMerge w:val="restart"/>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113" w:left="113"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Финансијске делатности и делатности осигурања</w:t>
            </w:r>
          </w:p>
        </w:tc>
        <w:tc>
          <w:tcPr>
            <w:tcW w:w="459" w:type="dxa"/>
            <w:vMerge w:val="restart"/>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113" w:left="113"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Пословање некретнинама</w:t>
            </w:r>
          </w:p>
        </w:tc>
        <w:tc>
          <w:tcPr>
            <w:tcW w:w="747" w:type="dxa"/>
            <w:vMerge w:val="restart"/>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113" w:left="113"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Стручне, научне, иновационе и техничке делатности</w:t>
            </w:r>
          </w:p>
        </w:tc>
        <w:tc>
          <w:tcPr>
            <w:tcW w:w="630" w:type="dxa"/>
            <w:vMerge w:val="restart"/>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113" w:left="113"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Административне и </w:t>
            </w:r>
          </w:p>
          <w:p>
            <w:pPr>
              <w:tabs>
                <w:tab w:val="left" w:pos="11610" w:leader="none"/>
              </w:tabs>
              <w:spacing w:before="0" w:after="0" w:line="240"/>
              <w:ind w:right="113" w:left="113"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поћне-услужне делатности</w:t>
            </w:r>
          </w:p>
        </w:tc>
        <w:tc>
          <w:tcPr>
            <w:tcW w:w="720" w:type="dxa"/>
            <w:vMerge w:val="restart"/>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113" w:left="113"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Државна управа и обавезно социјално осигурање</w:t>
            </w:r>
          </w:p>
        </w:tc>
        <w:tc>
          <w:tcPr>
            <w:tcW w:w="540" w:type="dxa"/>
            <w:vMerge w:val="restart"/>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113" w:left="113"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Образовање</w:t>
            </w:r>
          </w:p>
        </w:tc>
        <w:tc>
          <w:tcPr>
            <w:tcW w:w="450" w:type="dxa"/>
            <w:vMerge w:val="restart"/>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113" w:left="113"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Здравствена и социјална заштита</w:t>
            </w:r>
          </w:p>
        </w:tc>
        <w:tc>
          <w:tcPr>
            <w:tcW w:w="540" w:type="dxa"/>
            <w:vMerge w:val="restart"/>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113" w:left="113"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Уметност, забава и рекреација</w:t>
            </w:r>
          </w:p>
        </w:tc>
        <w:tc>
          <w:tcPr>
            <w:tcW w:w="765" w:type="dxa"/>
            <w:vMerge w:val="restart"/>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113" w:left="113"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Остале услужне делатности</w:t>
            </w:r>
          </w:p>
        </w:tc>
        <w:tc>
          <w:tcPr>
            <w:tcW w:w="765" w:type="dxa"/>
            <w:vMerge w:val="restart"/>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113" w:left="113"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Регистровани индивидуални пољопривредници</w:t>
            </w:r>
          </w:p>
        </w:tc>
      </w:tr>
      <w:tr>
        <w:trPr>
          <w:trHeight w:val="2348" w:hRule="auto"/>
          <w:jc w:val="center"/>
        </w:trPr>
        <w:tc>
          <w:tcPr>
            <w:tcW w:w="727"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98"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03"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809"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Запослени у правном лицу</w:t>
            </w:r>
          </w:p>
        </w:tc>
        <w:tc>
          <w:tcPr>
            <w:tcW w:w="1152"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Предузетници, лица која самостално обављају делатност и запослени код њих</w:t>
            </w:r>
          </w:p>
        </w:tc>
        <w:tc>
          <w:tcPr>
            <w:tcW w:w="470"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03"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50"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629"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87"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87"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87"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87"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87"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77"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73"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59"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747"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630"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720"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40"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50"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40"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765"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765" w:type="dxa"/>
            <w:vMerge/>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719" w:hRule="auto"/>
          <w:jc w:val="center"/>
        </w:trPr>
        <w:tc>
          <w:tcPr>
            <w:tcW w:w="727"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Сента</w:t>
            </w:r>
          </w:p>
        </w:tc>
        <w:tc>
          <w:tcPr>
            <w:tcW w:w="598"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7780</w:t>
            </w:r>
          </w:p>
        </w:tc>
        <w:tc>
          <w:tcPr>
            <w:tcW w:w="503"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7310</w:t>
            </w:r>
          </w:p>
        </w:tc>
        <w:tc>
          <w:tcPr>
            <w:tcW w:w="809"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6475</w:t>
            </w:r>
          </w:p>
        </w:tc>
        <w:tc>
          <w:tcPr>
            <w:tcW w:w="1152"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836</w:t>
            </w:r>
          </w:p>
        </w:tc>
        <w:tc>
          <w:tcPr>
            <w:tcW w:w="470"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77</w:t>
            </w:r>
          </w:p>
        </w:tc>
        <w:tc>
          <w:tcPr>
            <w:tcW w:w="303"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w:t>
            </w:r>
          </w:p>
        </w:tc>
        <w:tc>
          <w:tcPr>
            <w:tcW w:w="450"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3314</w:t>
            </w:r>
          </w:p>
        </w:tc>
        <w:tc>
          <w:tcPr>
            <w:tcW w:w="629"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64</w:t>
            </w:r>
          </w:p>
        </w:tc>
        <w:tc>
          <w:tcPr>
            <w:tcW w:w="487"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111</w:t>
            </w:r>
          </w:p>
        </w:tc>
        <w:tc>
          <w:tcPr>
            <w:tcW w:w="487"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126</w:t>
            </w:r>
          </w:p>
        </w:tc>
        <w:tc>
          <w:tcPr>
            <w:tcW w:w="487"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973</w:t>
            </w:r>
          </w:p>
        </w:tc>
        <w:tc>
          <w:tcPr>
            <w:tcW w:w="487"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298</w:t>
            </w:r>
          </w:p>
        </w:tc>
        <w:tc>
          <w:tcPr>
            <w:tcW w:w="487"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150</w:t>
            </w:r>
          </w:p>
        </w:tc>
        <w:tc>
          <w:tcPr>
            <w:tcW w:w="477"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93</w:t>
            </w:r>
          </w:p>
        </w:tc>
        <w:tc>
          <w:tcPr>
            <w:tcW w:w="473"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78</w:t>
            </w:r>
          </w:p>
        </w:tc>
        <w:tc>
          <w:tcPr>
            <w:tcW w:w="459"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w:t>
            </w:r>
          </w:p>
        </w:tc>
        <w:tc>
          <w:tcPr>
            <w:tcW w:w="747"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163</w:t>
            </w:r>
          </w:p>
        </w:tc>
        <w:tc>
          <w:tcPr>
            <w:tcW w:w="630"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86</w:t>
            </w:r>
          </w:p>
        </w:tc>
        <w:tc>
          <w:tcPr>
            <w:tcW w:w="720"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324</w:t>
            </w:r>
          </w:p>
        </w:tc>
        <w:tc>
          <w:tcPr>
            <w:tcW w:w="540"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529</w:t>
            </w:r>
          </w:p>
        </w:tc>
        <w:tc>
          <w:tcPr>
            <w:tcW w:w="450"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618</w:t>
            </w:r>
          </w:p>
        </w:tc>
        <w:tc>
          <w:tcPr>
            <w:tcW w:w="540"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93</w:t>
            </w:r>
          </w:p>
        </w:tc>
        <w:tc>
          <w:tcPr>
            <w:tcW w:w="765"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203</w:t>
            </w:r>
          </w:p>
        </w:tc>
        <w:tc>
          <w:tcPr>
            <w:tcW w:w="765" w:type="dxa"/>
            <w:tcBorders>
              <w:top w:val="single" w:color="000000" w:sz="4"/>
              <w:left w:val="single" w:color="000000" w:sz="4"/>
              <w:bottom w:val="single" w:color="000000" w:sz="4"/>
              <w:right w:val="single" w:color="000000" w:sz="4"/>
            </w:tcBorders>
            <w:shd w:color="auto" w:fill="auto" w:val="clear"/>
            <w:tcMar>
              <w:left w:w="0" w:type="dxa"/>
              <w:right w:w="0" w:type="dxa"/>
            </w:tcMar>
            <w:vAlign w:val="center"/>
          </w:tcPr>
          <w:p>
            <w:pPr>
              <w:tabs>
                <w:tab w:val="left" w:pos="11610" w:leader="none"/>
              </w:tabs>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470</w:t>
            </w:r>
          </w:p>
        </w:tc>
      </w:tr>
    </w:tbl>
    <w:p>
      <w:pPr>
        <w:tabs>
          <w:tab w:val="left" w:pos="11610" w:leader="none"/>
        </w:tabs>
        <w:spacing w:before="0" w:after="0" w:line="240"/>
        <w:ind w:right="0" w:left="0" w:firstLine="0"/>
        <w:jc w:val="left"/>
        <w:rPr>
          <w:rFonts w:ascii="Times New Roman" w:hAnsi="Times New Roman" w:cs="Times New Roman" w:eastAsia="Times New Roman"/>
          <w:color w:val="auto"/>
          <w:spacing w:val="0"/>
          <w:position w:val="0"/>
          <w:sz w:val="23"/>
          <w:shd w:fill="auto" w:val="clear"/>
        </w:rPr>
      </w:pPr>
    </w:p>
    <w:p>
      <w:pPr>
        <w:tabs>
          <w:tab w:val="left" w:pos="11610" w:leader="none"/>
        </w:tabs>
        <w:spacing w:before="0" w:after="0" w:line="240"/>
        <w:ind w:right="0" w:left="0" w:firstLine="0"/>
        <w:jc w:val="left"/>
        <w:rPr>
          <w:rFonts w:ascii="Times New Roman" w:hAnsi="Times New Roman" w:cs="Times New Roman" w:eastAsia="Times New Roman"/>
          <w:color w:val="auto"/>
          <w:spacing w:val="0"/>
          <w:position w:val="0"/>
          <w:sz w:val="23"/>
          <w:shd w:fill="auto" w:val="clear"/>
        </w:rPr>
      </w:pPr>
    </w:p>
    <w:p>
      <w:pPr>
        <w:tabs>
          <w:tab w:val="left" w:pos="15660" w:leader="none"/>
        </w:tabs>
        <w:spacing w:before="0" w:after="0" w:line="240"/>
        <w:ind w:right="0" w:left="0" w:firstLine="0"/>
        <w:jc w:val="left"/>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3"/>
          <w:shd w:fill="auto" w:val="clear"/>
        </w:rPr>
        <w:t xml:space="preserve">Преглед броја незапослених лица према полу и степену стручне спреме и годинама старости за месец мај 2023. године:</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279"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tbl>
      <w:tblPr/>
      <w:tblGrid>
        <w:gridCol w:w="1526"/>
        <w:gridCol w:w="709"/>
        <w:gridCol w:w="567"/>
        <w:gridCol w:w="850"/>
        <w:gridCol w:w="709"/>
        <w:gridCol w:w="688"/>
        <w:gridCol w:w="588"/>
        <w:gridCol w:w="708"/>
        <w:gridCol w:w="567"/>
        <w:gridCol w:w="709"/>
        <w:gridCol w:w="567"/>
        <w:gridCol w:w="709"/>
        <w:gridCol w:w="567"/>
        <w:gridCol w:w="709"/>
        <w:gridCol w:w="567"/>
        <w:gridCol w:w="708"/>
        <w:gridCol w:w="709"/>
        <w:gridCol w:w="709"/>
        <w:gridCol w:w="567"/>
        <w:gridCol w:w="709"/>
        <w:gridCol w:w="567"/>
        <w:gridCol w:w="688"/>
        <w:gridCol w:w="587"/>
      </w:tblGrid>
      <w:tr>
        <w:trPr>
          <w:trHeight w:val="270" w:hRule="auto"/>
          <w:jc w:val="left"/>
        </w:trPr>
        <w:tc>
          <w:tcPr>
            <w:tcW w:w="1526" w:type="dxa"/>
            <w:vMerge w:val="restart"/>
            <w:tcBorders>
              <w:top w:val="single" w:color="000000" w:sz="0"/>
              <w:left w:val="single" w:color="000000" w:sz="0"/>
              <w:bottom w:val="single" w:color="93b1cd" w:sz="8"/>
              <w:right w:val="single" w:color="93b1cd" w:sz="8"/>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6" w:type="dxa"/>
            <w:gridSpan w:val="2"/>
            <w:vMerge w:val="restart"/>
            <w:tcBorders>
              <w:top w:val="single" w:color="93b1cd" w:sz="8"/>
              <w:left w:val="single" w:color="93b1cd" w:sz="8"/>
              <w:bottom w:val="single" w:color="93b1cd" w:sz="8"/>
              <w:right w:val="single" w:color="93b1cd" w:sz="8"/>
            </w:tcBorders>
            <w:shd w:color="000000" w:fill="dfdfd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16"/>
                <w:shd w:fill="auto" w:val="clear"/>
              </w:rPr>
              <w:t xml:space="preserve">UKUPNO</w:t>
            </w:r>
          </w:p>
        </w:tc>
        <w:tc>
          <w:tcPr>
            <w:tcW w:w="13182" w:type="dxa"/>
            <w:gridSpan w:val="20"/>
            <w:tcBorders>
              <w:top w:val="single" w:color="93b1cd" w:sz="8"/>
              <w:left w:val="single" w:color="000000" w:sz="0"/>
              <w:bottom w:val="single" w:color="93b1cd" w:sz="8"/>
              <w:right w:val="single" w:color="93b1cd" w:sz="8"/>
            </w:tcBorders>
            <w:shd w:color="000000"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16"/>
                <w:shd w:fill="auto" w:val="clear"/>
              </w:rPr>
              <w:t xml:space="preserve">Godine starosti</w:t>
            </w:r>
          </w:p>
        </w:tc>
      </w:tr>
      <w:tr>
        <w:trPr>
          <w:trHeight w:val="270" w:hRule="auto"/>
          <w:jc w:val="left"/>
        </w:trPr>
        <w:tc>
          <w:tcPr>
            <w:tcW w:w="1526" w:type="dxa"/>
            <w:vMerge/>
            <w:tcBorders>
              <w:top w:val="single" w:color="000000" w:sz="0"/>
              <w:left w:val="single" w:color="000000" w:sz="0"/>
              <w:bottom w:val="single" w:color="93b1cd" w:sz="8"/>
              <w:right w:val="single" w:color="93b1cd" w:sz="8"/>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276" w:type="dxa"/>
            <w:gridSpan w:val="2"/>
            <w:vMerge/>
            <w:tcBorders>
              <w:top w:val="single" w:color="93b1cd" w:sz="8"/>
              <w:left w:val="single" w:color="93b1cd" w:sz="8"/>
              <w:bottom w:val="single" w:color="93b1cd" w:sz="8"/>
              <w:right w:val="single" w:color="93b1cd" w:sz="8"/>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59" w:type="dxa"/>
            <w:gridSpan w:val="2"/>
            <w:tcBorders>
              <w:top w:val="single" w:color="93b1cd" w:sz="8"/>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16"/>
                <w:shd w:fill="auto" w:val="clear"/>
              </w:rPr>
              <w:t xml:space="preserve">15 - 19 godina</w:t>
            </w:r>
          </w:p>
        </w:tc>
        <w:tc>
          <w:tcPr>
            <w:tcW w:w="1276" w:type="dxa"/>
            <w:gridSpan w:val="2"/>
            <w:tcBorders>
              <w:top w:val="single" w:color="93b1cd" w:sz="8"/>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16"/>
                <w:shd w:fill="auto" w:val="clear"/>
              </w:rPr>
              <w:t xml:space="preserve">20 - 24 godine</w:t>
            </w:r>
          </w:p>
        </w:tc>
        <w:tc>
          <w:tcPr>
            <w:tcW w:w="1275" w:type="dxa"/>
            <w:gridSpan w:val="2"/>
            <w:tcBorders>
              <w:top w:val="single" w:color="93b1cd" w:sz="8"/>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16"/>
                <w:shd w:fill="auto" w:val="clear"/>
              </w:rPr>
              <w:t xml:space="preserve">25 - 29 godina</w:t>
            </w:r>
          </w:p>
        </w:tc>
        <w:tc>
          <w:tcPr>
            <w:tcW w:w="1276" w:type="dxa"/>
            <w:gridSpan w:val="2"/>
            <w:tcBorders>
              <w:top w:val="single" w:color="93b1cd" w:sz="8"/>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16"/>
                <w:shd w:fill="auto" w:val="clear"/>
              </w:rPr>
              <w:t xml:space="preserve">30 - 34 godine</w:t>
            </w:r>
          </w:p>
        </w:tc>
        <w:tc>
          <w:tcPr>
            <w:tcW w:w="1276" w:type="dxa"/>
            <w:gridSpan w:val="2"/>
            <w:tcBorders>
              <w:top w:val="single" w:color="93b1cd" w:sz="8"/>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16"/>
                <w:shd w:fill="auto" w:val="clear"/>
              </w:rPr>
              <w:t xml:space="preserve">35 - 39 godina</w:t>
            </w:r>
          </w:p>
        </w:tc>
        <w:tc>
          <w:tcPr>
            <w:tcW w:w="1276" w:type="dxa"/>
            <w:gridSpan w:val="2"/>
            <w:tcBorders>
              <w:top w:val="single" w:color="93b1cd" w:sz="8"/>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16"/>
                <w:shd w:fill="auto" w:val="clear"/>
              </w:rPr>
              <w:t xml:space="preserve">40 - 44 godine</w:t>
            </w:r>
          </w:p>
        </w:tc>
        <w:tc>
          <w:tcPr>
            <w:tcW w:w="1417" w:type="dxa"/>
            <w:gridSpan w:val="2"/>
            <w:tcBorders>
              <w:top w:val="single" w:color="93b1cd" w:sz="8"/>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16"/>
                <w:shd w:fill="auto" w:val="clear"/>
              </w:rPr>
              <w:t xml:space="preserve">45 - 49 godina</w:t>
            </w:r>
          </w:p>
        </w:tc>
        <w:tc>
          <w:tcPr>
            <w:tcW w:w="1276" w:type="dxa"/>
            <w:gridSpan w:val="2"/>
            <w:tcBorders>
              <w:top w:val="single" w:color="93b1cd" w:sz="8"/>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16"/>
                <w:shd w:fill="auto" w:val="clear"/>
              </w:rPr>
              <w:t xml:space="preserve">50 - 54 godine</w:t>
            </w:r>
          </w:p>
        </w:tc>
        <w:tc>
          <w:tcPr>
            <w:tcW w:w="1276" w:type="dxa"/>
            <w:gridSpan w:val="2"/>
            <w:tcBorders>
              <w:top w:val="single" w:color="93b1cd" w:sz="8"/>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16"/>
                <w:shd w:fill="auto" w:val="clear"/>
              </w:rPr>
              <w:t xml:space="preserve">55 - 59 godina</w:t>
            </w:r>
          </w:p>
        </w:tc>
        <w:tc>
          <w:tcPr>
            <w:tcW w:w="1275" w:type="dxa"/>
            <w:gridSpan w:val="2"/>
            <w:tcBorders>
              <w:top w:val="single" w:color="93b1cd" w:sz="8"/>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16"/>
                <w:shd w:fill="auto" w:val="clear"/>
              </w:rPr>
              <w:t xml:space="preserve">60 - 64 godine</w:t>
            </w:r>
          </w:p>
        </w:tc>
      </w:tr>
      <w:tr>
        <w:trPr>
          <w:trHeight w:val="270" w:hRule="auto"/>
          <w:jc w:val="left"/>
        </w:trPr>
        <w:tc>
          <w:tcPr>
            <w:tcW w:w="1526" w:type="dxa"/>
            <w:vMerge/>
            <w:tcBorders>
              <w:top w:val="single" w:color="000000" w:sz="0"/>
              <w:left w:val="single" w:color="000000" w:sz="0"/>
              <w:bottom w:val="single" w:color="93b1cd" w:sz="8"/>
              <w:right w:val="single" w:color="93b1cd" w:sz="8"/>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709" w:type="dxa"/>
            <w:tcBorders>
              <w:top w:val="single" w:color="000000" w:sz="0"/>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14"/>
                <w:shd w:fill="auto" w:val="clear"/>
              </w:rPr>
              <w:t xml:space="preserve">Ukupno</w:t>
            </w:r>
          </w:p>
        </w:tc>
        <w:tc>
          <w:tcPr>
            <w:tcW w:w="567" w:type="dxa"/>
            <w:tcBorders>
              <w:top w:val="single" w:color="000000" w:sz="0"/>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14"/>
                <w:shd w:fill="auto" w:val="clear"/>
              </w:rPr>
              <w:t xml:space="preserve">Žene</w:t>
            </w:r>
          </w:p>
        </w:tc>
        <w:tc>
          <w:tcPr>
            <w:tcW w:w="850" w:type="dxa"/>
            <w:tcBorders>
              <w:top w:val="single" w:color="000000" w:sz="0"/>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14"/>
                <w:shd w:fill="auto" w:val="clear"/>
              </w:rPr>
              <w:t xml:space="preserve">Ukupno</w:t>
            </w:r>
          </w:p>
        </w:tc>
        <w:tc>
          <w:tcPr>
            <w:tcW w:w="709" w:type="dxa"/>
            <w:tcBorders>
              <w:top w:val="single" w:color="000000" w:sz="0"/>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14"/>
                <w:shd w:fill="auto" w:val="clear"/>
              </w:rPr>
              <w:t xml:space="preserve">Žene</w:t>
            </w:r>
          </w:p>
        </w:tc>
        <w:tc>
          <w:tcPr>
            <w:tcW w:w="688" w:type="dxa"/>
            <w:tcBorders>
              <w:top w:val="single" w:color="000000" w:sz="0"/>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14"/>
                <w:shd w:fill="auto" w:val="clear"/>
              </w:rPr>
              <w:t xml:space="preserve">Ukupno</w:t>
            </w:r>
          </w:p>
        </w:tc>
        <w:tc>
          <w:tcPr>
            <w:tcW w:w="588" w:type="dxa"/>
            <w:tcBorders>
              <w:top w:val="single" w:color="000000" w:sz="0"/>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14"/>
                <w:shd w:fill="auto" w:val="clear"/>
              </w:rPr>
              <w:t xml:space="preserve">Žene</w:t>
            </w:r>
          </w:p>
        </w:tc>
        <w:tc>
          <w:tcPr>
            <w:tcW w:w="708" w:type="dxa"/>
            <w:tcBorders>
              <w:top w:val="single" w:color="000000" w:sz="0"/>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14"/>
                <w:shd w:fill="auto" w:val="clear"/>
              </w:rPr>
              <w:t xml:space="preserve">Ukupno</w:t>
            </w:r>
          </w:p>
        </w:tc>
        <w:tc>
          <w:tcPr>
            <w:tcW w:w="567" w:type="dxa"/>
            <w:tcBorders>
              <w:top w:val="single" w:color="000000" w:sz="0"/>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14"/>
                <w:shd w:fill="auto" w:val="clear"/>
              </w:rPr>
              <w:t xml:space="preserve">Žene</w:t>
            </w:r>
          </w:p>
        </w:tc>
        <w:tc>
          <w:tcPr>
            <w:tcW w:w="709" w:type="dxa"/>
            <w:tcBorders>
              <w:top w:val="single" w:color="000000" w:sz="0"/>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14"/>
                <w:shd w:fill="auto" w:val="clear"/>
              </w:rPr>
              <w:t xml:space="preserve">Ukupno</w:t>
            </w:r>
          </w:p>
        </w:tc>
        <w:tc>
          <w:tcPr>
            <w:tcW w:w="567" w:type="dxa"/>
            <w:tcBorders>
              <w:top w:val="single" w:color="000000" w:sz="0"/>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14"/>
                <w:shd w:fill="auto" w:val="clear"/>
              </w:rPr>
              <w:t xml:space="preserve">Žene</w:t>
            </w:r>
          </w:p>
        </w:tc>
        <w:tc>
          <w:tcPr>
            <w:tcW w:w="709" w:type="dxa"/>
            <w:tcBorders>
              <w:top w:val="single" w:color="000000" w:sz="0"/>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14"/>
                <w:shd w:fill="auto" w:val="clear"/>
              </w:rPr>
              <w:t xml:space="preserve">Ukupno</w:t>
            </w:r>
          </w:p>
        </w:tc>
        <w:tc>
          <w:tcPr>
            <w:tcW w:w="567" w:type="dxa"/>
            <w:tcBorders>
              <w:top w:val="single" w:color="000000" w:sz="0"/>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14"/>
                <w:shd w:fill="auto" w:val="clear"/>
              </w:rPr>
              <w:t xml:space="preserve">Žene</w:t>
            </w:r>
          </w:p>
        </w:tc>
        <w:tc>
          <w:tcPr>
            <w:tcW w:w="709" w:type="dxa"/>
            <w:tcBorders>
              <w:top w:val="single" w:color="000000" w:sz="0"/>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14"/>
                <w:shd w:fill="auto" w:val="clear"/>
              </w:rPr>
              <w:t xml:space="preserve">Ukupno</w:t>
            </w:r>
          </w:p>
        </w:tc>
        <w:tc>
          <w:tcPr>
            <w:tcW w:w="567" w:type="dxa"/>
            <w:tcBorders>
              <w:top w:val="single" w:color="000000" w:sz="0"/>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14"/>
                <w:shd w:fill="auto" w:val="clear"/>
              </w:rPr>
              <w:t xml:space="preserve">Žene</w:t>
            </w:r>
          </w:p>
        </w:tc>
        <w:tc>
          <w:tcPr>
            <w:tcW w:w="708" w:type="dxa"/>
            <w:tcBorders>
              <w:top w:val="single" w:color="000000" w:sz="0"/>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14"/>
                <w:shd w:fill="auto" w:val="clear"/>
              </w:rPr>
              <w:t xml:space="preserve">Ukupno</w:t>
            </w:r>
          </w:p>
        </w:tc>
        <w:tc>
          <w:tcPr>
            <w:tcW w:w="709" w:type="dxa"/>
            <w:tcBorders>
              <w:top w:val="single" w:color="000000" w:sz="0"/>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14"/>
                <w:shd w:fill="auto" w:val="clear"/>
              </w:rPr>
              <w:t xml:space="preserve">Žene</w:t>
            </w:r>
          </w:p>
        </w:tc>
        <w:tc>
          <w:tcPr>
            <w:tcW w:w="709" w:type="dxa"/>
            <w:tcBorders>
              <w:top w:val="single" w:color="000000" w:sz="0"/>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14"/>
                <w:shd w:fill="auto" w:val="clear"/>
              </w:rPr>
              <w:t xml:space="preserve">Ukupno</w:t>
            </w:r>
          </w:p>
        </w:tc>
        <w:tc>
          <w:tcPr>
            <w:tcW w:w="567" w:type="dxa"/>
            <w:tcBorders>
              <w:top w:val="single" w:color="000000" w:sz="0"/>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14"/>
                <w:shd w:fill="auto" w:val="clear"/>
              </w:rPr>
              <w:t xml:space="preserve">Žene</w:t>
            </w:r>
          </w:p>
        </w:tc>
        <w:tc>
          <w:tcPr>
            <w:tcW w:w="709" w:type="dxa"/>
            <w:tcBorders>
              <w:top w:val="single" w:color="000000" w:sz="0"/>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14"/>
                <w:shd w:fill="auto" w:val="clear"/>
              </w:rPr>
              <w:t xml:space="preserve">Ukupno</w:t>
            </w:r>
          </w:p>
        </w:tc>
        <w:tc>
          <w:tcPr>
            <w:tcW w:w="567" w:type="dxa"/>
            <w:tcBorders>
              <w:top w:val="single" w:color="000000" w:sz="0"/>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14"/>
                <w:shd w:fill="auto" w:val="clear"/>
              </w:rPr>
              <w:t xml:space="preserve">Žene</w:t>
            </w:r>
          </w:p>
        </w:tc>
        <w:tc>
          <w:tcPr>
            <w:tcW w:w="688" w:type="dxa"/>
            <w:tcBorders>
              <w:top w:val="single" w:color="000000" w:sz="0"/>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14"/>
                <w:shd w:fill="auto" w:val="clear"/>
              </w:rPr>
              <w:t xml:space="preserve">Ukupno</w:t>
            </w:r>
          </w:p>
        </w:tc>
        <w:tc>
          <w:tcPr>
            <w:tcW w:w="587" w:type="dxa"/>
            <w:tcBorders>
              <w:top w:val="single" w:color="000000" w:sz="0"/>
              <w:left w:val="single" w:color="000000" w:sz="0"/>
              <w:bottom w:val="single" w:color="93b1cd" w:sz="8"/>
              <w:right w:val="single" w:color="93b1cd" w:sz="8"/>
            </w:tcBorders>
            <w:shd w:color="000000" w:fill="bfd2e2"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14"/>
                <w:shd w:fill="auto" w:val="clear"/>
              </w:rPr>
              <w:t xml:space="preserve">Žene</w:t>
            </w:r>
          </w:p>
        </w:tc>
      </w:tr>
      <w:tr>
        <w:trPr>
          <w:trHeight w:val="270" w:hRule="auto"/>
          <w:jc w:val="left"/>
        </w:trPr>
        <w:tc>
          <w:tcPr>
            <w:tcW w:w="1526" w:type="dxa"/>
            <w:tcBorders>
              <w:top w:val="single" w:color="93b1cd" w:sz="8"/>
              <w:left w:val="single" w:color="000000" w:sz="0"/>
              <w:bottom w:val="single" w:color="93b1cd" w:sz="8"/>
              <w:right w:val="single" w:color="93b1cd" w:sz="8"/>
            </w:tcBorders>
            <w:shd w:color="000000" w:fill="dfdfdf"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9" w:type="dxa"/>
            <w:tcBorders>
              <w:top w:val="single" w:color="836967" w:sz="8"/>
              <w:left w:val="single" w:color="836967" w:sz="8"/>
              <w:bottom w:val="single" w:color="836967" w:sz="8"/>
              <w:right w:val="single" w:color="836967" w:sz="8"/>
            </w:tcBorders>
            <w:shd w:color="000000" w:fill="dfdfdf"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942</w:t>
            </w:r>
          </w:p>
        </w:tc>
        <w:tc>
          <w:tcPr>
            <w:tcW w:w="567" w:type="dxa"/>
            <w:tcBorders>
              <w:top w:val="single" w:color="836967" w:sz="8"/>
              <w:left w:val="single" w:color="000000" w:sz="0"/>
              <w:bottom w:val="single" w:color="836967" w:sz="8"/>
              <w:right w:val="single" w:color="836967" w:sz="8"/>
            </w:tcBorders>
            <w:shd w:color="000000" w:fill="dfdfdf"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466</w:t>
            </w:r>
          </w:p>
        </w:tc>
        <w:tc>
          <w:tcPr>
            <w:tcW w:w="850" w:type="dxa"/>
            <w:tcBorders>
              <w:top w:val="single" w:color="836967" w:sz="8"/>
              <w:left w:val="single" w:color="000000" w:sz="0"/>
              <w:bottom w:val="single" w:color="836967" w:sz="8"/>
              <w:right w:val="single" w:color="836967" w:sz="8"/>
            </w:tcBorders>
            <w:shd w:color="000000" w:fill="dfdfdf"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47</w:t>
            </w:r>
          </w:p>
        </w:tc>
        <w:tc>
          <w:tcPr>
            <w:tcW w:w="709" w:type="dxa"/>
            <w:tcBorders>
              <w:top w:val="single" w:color="836967" w:sz="8"/>
              <w:left w:val="single" w:color="000000" w:sz="0"/>
              <w:bottom w:val="single" w:color="836967" w:sz="8"/>
              <w:right w:val="single" w:color="836967" w:sz="8"/>
            </w:tcBorders>
            <w:shd w:color="000000" w:fill="dfdfdf"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22</w:t>
            </w:r>
          </w:p>
        </w:tc>
        <w:tc>
          <w:tcPr>
            <w:tcW w:w="688" w:type="dxa"/>
            <w:tcBorders>
              <w:top w:val="single" w:color="836967" w:sz="8"/>
              <w:left w:val="single" w:color="000000" w:sz="0"/>
              <w:bottom w:val="single" w:color="836967" w:sz="8"/>
              <w:right w:val="single" w:color="836967" w:sz="8"/>
            </w:tcBorders>
            <w:shd w:color="000000" w:fill="dfdfdf"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80</w:t>
            </w:r>
          </w:p>
        </w:tc>
        <w:tc>
          <w:tcPr>
            <w:tcW w:w="588" w:type="dxa"/>
            <w:tcBorders>
              <w:top w:val="single" w:color="836967" w:sz="8"/>
              <w:left w:val="single" w:color="000000" w:sz="0"/>
              <w:bottom w:val="single" w:color="836967" w:sz="8"/>
              <w:right w:val="single" w:color="836967" w:sz="8"/>
            </w:tcBorders>
            <w:shd w:color="000000" w:fill="dfdfdf"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37</w:t>
            </w:r>
          </w:p>
        </w:tc>
        <w:tc>
          <w:tcPr>
            <w:tcW w:w="708" w:type="dxa"/>
            <w:tcBorders>
              <w:top w:val="single" w:color="836967" w:sz="8"/>
              <w:left w:val="single" w:color="000000" w:sz="0"/>
              <w:bottom w:val="single" w:color="836967" w:sz="8"/>
              <w:right w:val="single" w:color="836967" w:sz="8"/>
            </w:tcBorders>
            <w:shd w:color="000000" w:fill="dfdfdf"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81</w:t>
            </w:r>
          </w:p>
        </w:tc>
        <w:tc>
          <w:tcPr>
            <w:tcW w:w="567" w:type="dxa"/>
            <w:tcBorders>
              <w:top w:val="single" w:color="836967" w:sz="8"/>
              <w:left w:val="single" w:color="000000" w:sz="0"/>
              <w:bottom w:val="single" w:color="836967" w:sz="8"/>
              <w:right w:val="single" w:color="836967" w:sz="8"/>
            </w:tcBorders>
            <w:shd w:color="000000" w:fill="dfdfdf"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44</w:t>
            </w:r>
          </w:p>
        </w:tc>
        <w:tc>
          <w:tcPr>
            <w:tcW w:w="709" w:type="dxa"/>
            <w:tcBorders>
              <w:top w:val="single" w:color="836967" w:sz="8"/>
              <w:left w:val="single" w:color="000000" w:sz="0"/>
              <w:bottom w:val="single" w:color="836967" w:sz="8"/>
              <w:right w:val="single" w:color="836967" w:sz="8"/>
            </w:tcBorders>
            <w:shd w:color="000000" w:fill="dfdfdf"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80</w:t>
            </w:r>
          </w:p>
        </w:tc>
        <w:tc>
          <w:tcPr>
            <w:tcW w:w="567" w:type="dxa"/>
            <w:tcBorders>
              <w:top w:val="single" w:color="836967" w:sz="8"/>
              <w:left w:val="single" w:color="000000" w:sz="0"/>
              <w:bottom w:val="single" w:color="836967" w:sz="8"/>
              <w:right w:val="single" w:color="836967" w:sz="8"/>
            </w:tcBorders>
            <w:shd w:color="000000" w:fill="dfdfdf"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45</w:t>
            </w:r>
          </w:p>
        </w:tc>
        <w:tc>
          <w:tcPr>
            <w:tcW w:w="709" w:type="dxa"/>
            <w:tcBorders>
              <w:top w:val="single" w:color="836967" w:sz="8"/>
              <w:left w:val="single" w:color="000000" w:sz="0"/>
              <w:bottom w:val="single" w:color="836967" w:sz="8"/>
              <w:right w:val="single" w:color="836967" w:sz="8"/>
            </w:tcBorders>
            <w:shd w:color="000000" w:fill="dfdfdf"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74</w:t>
            </w:r>
          </w:p>
        </w:tc>
        <w:tc>
          <w:tcPr>
            <w:tcW w:w="567" w:type="dxa"/>
            <w:tcBorders>
              <w:top w:val="single" w:color="836967" w:sz="8"/>
              <w:left w:val="single" w:color="000000" w:sz="0"/>
              <w:bottom w:val="single" w:color="836967" w:sz="8"/>
              <w:right w:val="single" w:color="836967" w:sz="8"/>
            </w:tcBorders>
            <w:shd w:color="000000" w:fill="dfdfdf"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40</w:t>
            </w:r>
          </w:p>
        </w:tc>
        <w:tc>
          <w:tcPr>
            <w:tcW w:w="709" w:type="dxa"/>
            <w:tcBorders>
              <w:top w:val="single" w:color="836967" w:sz="8"/>
              <w:left w:val="single" w:color="000000" w:sz="0"/>
              <w:bottom w:val="single" w:color="836967" w:sz="8"/>
              <w:right w:val="single" w:color="836967" w:sz="8"/>
            </w:tcBorders>
            <w:shd w:color="000000" w:fill="dfdfdf"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80</w:t>
            </w:r>
          </w:p>
        </w:tc>
        <w:tc>
          <w:tcPr>
            <w:tcW w:w="567" w:type="dxa"/>
            <w:tcBorders>
              <w:top w:val="single" w:color="836967" w:sz="8"/>
              <w:left w:val="single" w:color="000000" w:sz="0"/>
              <w:bottom w:val="single" w:color="836967" w:sz="8"/>
              <w:right w:val="single" w:color="836967" w:sz="8"/>
            </w:tcBorders>
            <w:shd w:color="000000" w:fill="dfdfdf"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44</w:t>
            </w:r>
          </w:p>
        </w:tc>
        <w:tc>
          <w:tcPr>
            <w:tcW w:w="708" w:type="dxa"/>
            <w:tcBorders>
              <w:top w:val="single" w:color="836967" w:sz="8"/>
              <w:left w:val="single" w:color="000000" w:sz="0"/>
              <w:bottom w:val="single" w:color="836967" w:sz="8"/>
              <w:right w:val="single" w:color="836967" w:sz="8"/>
            </w:tcBorders>
            <w:shd w:color="000000" w:fill="dfdfdf"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121</w:t>
            </w:r>
          </w:p>
        </w:tc>
        <w:tc>
          <w:tcPr>
            <w:tcW w:w="709" w:type="dxa"/>
            <w:tcBorders>
              <w:top w:val="single" w:color="836967" w:sz="8"/>
              <w:left w:val="single" w:color="000000" w:sz="0"/>
              <w:bottom w:val="single" w:color="836967" w:sz="8"/>
              <w:right w:val="single" w:color="836967" w:sz="8"/>
            </w:tcBorders>
            <w:shd w:color="000000" w:fill="dfdfdf"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74</w:t>
            </w:r>
          </w:p>
        </w:tc>
        <w:tc>
          <w:tcPr>
            <w:tcW w:w="709" w:type="dxa"/>
            <w:tcBorders>
              <w:top w:val="single" w:color="836967" w:sz="8"/>
              <w:left w:val="single" w:color="000000" w:sz="0"/>
              <w:bottom w:val="single" w:color="836967" w:sz="8"/>
              <w:right w:val="single" w:color="836967" w:sz="8"/>
            </w:tcBorders>
            <w:shd w:color="000000" w:fill="dfdfdf"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123</w:t>
            </w:r>
          </w:p>
        </w:tc>
        <w:tc>
          <w:tcPr>
            <w:tcW w:w="567" w:type="dxa"/>
            <w:tcBorders>
              <w:top w:val="single" w:color="836967" w:sz="8"/>
              <w:left w:val="single" w:color="000000" w:sz="0"/>
              <w:bottom w:val="single" w:color="836967" w:sz="8"/>
              <w:right w:val="single" w:color="836967" w:sz="8"/>
            </w:tcBorders>
            <w:shd w:color="000000" w:fill="dfdfdf"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63</w:t>
            </w:r>
          </w:p>
        </w:tc>
        <w:tc>
          <w:tcPr>
            <w:tcW w:w="709" w:type="dxa"/>
            <w:tcBorders>
              <w:top w:val="single" w:color="836967" w:sz="8"/>
              <w:left w:val="single" w:color="000000" w:sz="0"/>
              <w:bottom w:val="single" w:color="836967" w:sz="8"/>
              <w:right w:val="single" w:color="836967" w:sz="8"/>
            </w:tcBorders>
            <w:shd w:color="000000" w:fill="dfdfdf"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128</w:t>
            </w:r>
          </w:p>
        </w:tc>
        <w:tc>
          <w:tcPr>
            <w:tcW w:w="567" w:type="dxa"/>
            <w:tcBorders>
              <w:top w:val="single" w:color="836967" w:sz="8"/>
              <w:left w:val="single" w:color="000000" w:sz="0"/>
              <w:bottom w:val="single" w:color="836967" w:sz="8"/>
              <w:right w:val="single" w:color="836967" w:sz="8"/>
            </w:tcBorders>
            <w:shd w:color="000000" w:fill="dfdfdf"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60</w:t>
            </w:r>
          </w:p>
        </w:tc>
        <w:tc>
          <w:tcPr>
            <w:tcW w:w="688" w:type="dxa"/>
            <w:tcBorders>
              <w:top w:val="single" w:color="836967" w:sz="8"/>
              <w:left w:val="single" w:color="000000" w:sz="0"/>
              <w:bottom w:val="single" w:color="836967" w:sz="8"/>
              <w:right w:val="single" w:color="836967" w:sz="8"/>
            </w:tcBorders>
            <w:shd w:color="000000" w:fill="dfdfdf"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128</w:t>
            </w:r>
          </w:p>
        </w:tc>
        <w:tc>
          <w:tcPr>
            <w:tcW w:w="587" w:type="dxa"/>
            <w:tcBorders>
              <w:top w:val="single" w:color="836967" w:sz="8"/>
              <w:left w:val="single" w:color="000000" w:sz="0"/>
              <w:bottom w:val="single" w:color="836967" w:sz="8"/>
              <w:right w:val="single" w:color="836967" w:sz="8"/>
            </w:tcBorders>
            <w:shd w:color="000000" w:fill="dfdfdf"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37</w:t>
            </w:r>
          </w:p>
        </w:tc>
      </w:tr>
      <w:tr>
        <w:trPr>
          <w:trHeight w:val="270" w:hRule="auto"/>
          <w:jc w:val="left"/>
        </w:trPr>
        <w:tc>
          <w:tcPr>
            <w:tcW w:w="1526" w:type="dxa"/>
            <w:tcBorders>
              <w:top w:val="single" w:color="93b1cd" w:sz="8"/>
              <w:left w:val="single" w:color="93b1cd" w:sz="8"/>
              <w:bottom w:val="single" w:color="93b1cd" w:sz="8"/>
              <w:right w:val="single" w:color="93b1cd" w:sz="8"/>
            </w:tcBorders>
            <w:shd w:color="000000" w:fill="f2f1f1" w:val="clear"/>
            <w:tcMar>
              <w:left w:w="108" w:type="dxa"/>
              <w:right w:w="108" w:type="dxa"/>
            </w:tcMar>
            <w:vAlign w:val="center"/>
          </w:tcPr>
          <w:p>
            <w:pPr>
              <w:spacing w:before="0" w:after="0" w:line="240"/>
              <w:ind w:right="0" w:left="0" w:firstLine="0"/>
              <w:jc w:val="left"/>
              <w:rPr>
                <w:spacing w:val="0"/>
                <w:position w:val="0"/>
                <w:shd w:fill="auto" w:val="clear"/>
              </w:rPr>
            </w:pPr>
            <w:r>
              <w:rPr>
                <w:rFonts w:ascii="Tahoma" w:hAnsi="Tahoma" w:cs="Tahoma" w:eastAsia="Tahoma"/>
                <w:b/>
                <w:color w:val="000000"/>
                <w:spacing w:val="0"/>
                <w:position w:val="0"/>
                <w:sz w:val="16"/>
                <w:shd w:fill="auto" w:val="clear"/>
              </w:rPr>
              <w:t xml:space="preserve"> I stepen stru</w:t>
            </w:r>
            <w:r>
              <w:rPr>
                <w:rFonts w:ascii="Tahoma" w:hAnsi="Tahoma" w:cs="Tahoma" w:eastAsia="Tahoma"/>
                <w:b/>
                <w:color w:val="000000"/>
                <w:spacing w:val="0"/>
                <w:position w:val="0"/>
                <w:sz w:val="16"/>
                <w:shd w:fill="auto" w:val="clear"/>
              </w:rPr>
              <w:t xml:space="preserve">čne spreme</w:t>
            </w:r>
          </w:p>
        </w:tc>
        <w:tc>
          <w:tcPr>
            <w:tcW w:w="709" w:type="dxa"/>
            <w:tcBorders>
              <w:top w:val="single" w:color="000000" w:sz="0"/>
              <w:left w:val="single" w:color="836967" w:sz="8"/>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569</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289</w:t>
            </w:r>
          </w:p>
        </w:tc>
        <w:tc>
          <w:tcPr>
            <w:tcW w:w="850"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36</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17</w:t>
            </w:r>
          </w:p>
        </w:tc>
        <w:tc>
          <w:tcPr>
            <w:tcW w:w="68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33</w:t>
            </w:r>
          </w:p>
        </w:tc>
        <w:tc>
          <w:tcPr>
            <w:tcW w:w="58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19</w:t>
            </w:r>
          </w:p>
        </w:tc>
        <w:tc>
          <w:tcPr>
            <w:tcW w:w="70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43</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26</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59</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33</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43</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23</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55</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29</w:t>
            </w:r>
          </w:p>
        </w:tc>
        <w:tc>
          <w:tcPr>
            <w:tcW w:w="70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80</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49</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74</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35</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77</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36</w:t>
            </w:r>
          </w:p>
        </w:tc>
        <w:tc>
          <w:tcPr>
            <w:tcW w:w="68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69</w:t>
            </w:r>
          </w:p>
        </w:tc>
        <w:tc>
          <w:tcPr>
            <w:tcW w:w="58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22</w:t>
            </w:r>
          </w:p>
        </w:tc>
      </w:tr>
      <w:tr>
        <w:trPr>
          <w:trHeight w:val="270" w:hRule="auto"/>
          <w:jc w:val="left"/>
        </w:trPr>
        <w:tc>
          <w:tcPr>
            <w:tcW w:w="1526" w:type="dxa"/>
            <w:tcBorders>
              <w:top w:val="single" w:color="93b1cd" w:sz="8"/>
              <w:left w:val="single" w:color="93b1cd" w:sz="8"/>
              <w:bottom w:val="single" w:color="93b1cd" w:sz="8"/>
              <w:right w:val="single" w:color="93b1cd" w:sz="8"/>
            </w:tcBorders>
            <w:shd w:color="000000" w:fill="f2f1f1" w:val="clear"/>
            <w:tcMar>
              <w:left w:w="108" w:type="dxa"/>
              <w:right w:w="108" w:type="dxa"/>
            </w:tcMar>
            <w:vAlign w:val="center"/>
          </w:tcPr>
          <w:p>
            <w:pPr>
              <w:spacing w:before="0" w:after="0" w:line="240"/>
              <w:ind w:right="0" w:left="0" w:firstLine="0"/>
              <w:jc w:val="left"/>
              <w:rPr>
                <w:spacing w:val="0"/>
                <w:position w:val="0"/>
                <w:shd w:fill="auto" w:val="clear"/>
              </w:rPr>
            </w:pPr>
            <w:r>
              <w:rPr>
                <w:rFonts w:ascii="Tahoma" w:hAnsi="Tahoma" w:cs="Tahoma" w:eastAsia="Tahoma"/>
                <w:b/>
                <w:color w:val="000000"/>
                <w:spacing w:val="0"/>
                <w:position w:val="0"/>
                <w:sz w:val="16"/>
                <w:shd w:fill="auto" w:val="clear"/>
              </w:rPr>
              <w:t xml:space="preserve">II stepen stru</w:t>
            </w:r>
            <w:r>
              <w:rPr>
                <w:rFonts w:ascii="Tahoma" w:hAnsi="Tahoma" w:cs="Tahoma" w:eastAsia="Tahoma"/>
                <w:b/>
                <w:color w:val="000000"/>
                <w:spacing w:val="0"/>
                <w:position w:val="0"/>
                <w:sz w:val="16"/>
                <w:shd w:fill="auto" w:val="clear"/>
              </w:rPr>
              <w:t xml:space="preserve">čne spreme</w:t>
            </w:r>
          </w:p>
        </w:tc>
        <w:tc>
          <w:tcPr>
            <w:tcW w:w="709" w:type="dxa"/>
            <w:tcBorders>
              <w:top w:val="single" w:color="000000" w:sz="0"/>
              <w:left w:val="single" w:color="836967" w:sz="8"/>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26</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11</w:t>
            </w:r>
          </w:p>
        </w:tc>
        <w:tc>
          <w:tcPr>
            <w:tcW w:w="850"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68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58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0</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w:t>
            </w:r>
          </w:p>
        </w:tc>
        <w:tc>
          <w:tcPr>
            <w:tcW w:w="70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3</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4</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7</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w:t>
            </w:r>
          </w:p>
        </w:tc>
        <w:tc>
          <w:tcPr>
            <w:tcW w:w="68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9</w:t>
            </w:r>
          </w:p>
        </w:tc>
        <w:tc>
          <w:tcPr>
            <w:tcW w:w="58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3</w:t>
            </w:r>
          </w:p>
        </w:tc>
      </w:tr>
      <w:tr>
        <w:trPr>
          <w:trHeight w:val="270" w:hRule="auto"/>
          <w:jc w:val="left"/>
        </w:trPr>
        <w:tc>
          <w:tcPr>
            <w:tcW w:w="1526" w:type="dxa"/>
            <w:tcBorders>
              <w:top w:val="single" w:color="93b1cd" w:sz="8"/>
              <w:left w:val="single" w:color="93b1cd" w:sz="8"/>
              <w:bottom w:val="single" w:color="93b1cd" w:sz="8"/>
              <w:right w:val="single" w:color="93b1cd" w:sz="8"/>
            </w:tcBorders>
            <w:shd w:color="000000" w:fill="f2f1f1" w:val="clear"/>
            <w:tcMar>
              <w:left w:w="108" w:type="dxa"/>
              <w:right w:w="108" w:type="dxa"/>
            </w:tcMar>
            <w:vAlign w:val="center"/>
          </w:tcPr>
          <w:p>
            <w:pPr>
              <w:spacing w:before="0" w:after="0" w:line="240"/>
              <w:ind w:right="0" w:left="0" w:firstLine="0"/>
              <w:jc w:val="left"/>
              <w:rPr>
                <w:spacing w:val="0"/>
                <w:position w:val="0"/>
                <w:shd w:fill="auto" w:val="clear"/>
              </w:rPr>
            </w:pPr>
            <w:r>
              <w:rPr>
                <w:rFonts w:ascii="Tahoma" w:hAnsi="Tahoma" w:cs="Tahoma" w:eastAsia="Tahoma"/>
                <w:b/>
                <w:color w:val="000000"/>
                <w:spacing w:val="0"/>
                <w:position w:val="0"/>
                <w:sz w:val="16"/>
                <w:shd w:fill="auto" w:val="clear"/>
              </w:rPr>
              <w:t xml:space="preserve">III stepen stru</w:t>
            </w:r>
            <w:r>
              <w:rPr>
                <w:rFonts w:ascii="Tahoma" w:hAnsi="Tahoma" w:cs="Tahoma" w:eastAsia="Tahoma"/>
                <w:b/>
                <w:color w:val="000000"/>
                <w:spacing w:val="0"/>
                <w:position w:val="0"/>
                <w:sz w:val="16"/>
                <w:shd w:fill="auto" w:val="clear"/>
              </w:rPr>
              <w:t xml:space="preserve">čne spreme</w:t>
            </w:r>
          </w:p>
        </w:tc>
        <w:tc>
          <w:tcPr>
            <w:tcW w:w="709" w:type="dxa"/>
            <w:tcBorders>
              <w:top w:val="single" w:color="000000" w:sz="0"/>
              <w:left w:val="single" w:color="836967" w:sz="8"/>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127</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55</w:t>
            </w:r>
          </w:p>
        </w:tc>
        <w:tc>
          <w:tcPr>
            <w:tcW w:w="850"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4</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0</w:t>
            </w:r>
          </w:p>
        </w:tc>
        <w:tc>
          <w:tcPr>
            <w:tcW w:w="68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18</w:t>
            </w:r>
          </w:p>
        </w:tc>
        <w:tc>
          <w:tcPr>
            <w:tcW w:w="58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6</w:t>
            </w:r>
          </w:p>
        </w:tc>
        <w:tc>
          <w:tcPr>
            <w:tcW w:w="70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11</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6</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11</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5</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18</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10</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6</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3</w:t>
            </w:r>
          </w:p>
        </w:tc>
        <w:tc>
          <w:tcPr>
            <w:tcW w:w="70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17</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12</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18</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9</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7</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w:t>
            </w:r>
          </w:p>
        </w:tc>
        <w:tc>
          <w:tcPr>
            <w:tcW w:w="68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17</w:t>
            </w:r>
          </w:p>
        </w:tc>
        <w:tc>
          <w:tcPr>
            <w:tcW w:w="58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w:t>
            </w:r>
          </w:p>
        </w:tc>
      </w:tr>
      <w:tr>
        <w:trPr>
          <w:trHeight w:val="270" w:hRule="auto"/>
          <w:jc w:val="left"/>
        </w:trPr>
        <w:tc>
          <w:tcPr>
            <w:tcW w:w="1526" w:type="dxa"/>
            <w:tcBorders>
              <w:top w:val="single" w:color="93b1cd" w:sz="8"/>
              <w:left w:val="single" w:color="93b1cd" w:sz="8"/>
              <w:bottom w:val="single" w:color="93b1cd" w:sz="8"/>
              <w:right w:val="single" w:color="93b1cd" w:sz="8"/>
            </w:tcBorders>
            <w:shd w:color="000000" w:fill="f2f1f1" w:val="clear"/>
            <w:tcMar>
              <w:left w:w="108" w:type="dxa"/>
              <w:right w:w="108" w:type="dxa"/>
            </w:tcMar>
            <w:vAlign w:val="center"/>
          </w:tcPr>
          <w:p>
            <w:pPr>
              <w:spacing w:before="0" w:after="0" w:line="240"/>
              <w:ind w:right="0" w:left="0" w:firstLine="0"/>
              <w:jc w:val="left"/>
              <w:rPr>
                <w:spacing w:val="0"/>
                <w:position w:val="0"/>
                <w:shd w:fill="auto" w:val="clear"/>
              </w:rPr>
            </w:pPr>
            <w:r>
              <w:rPr>
                <w:rFonts w:ascii="Tahoma" w:hAnsi="Tahoma" w:cs="Tahoma" w:eastAsia="Tahoma"/>
                <w:b/>
                <w:color w:val="000000"/>
                <w:spacing w:val="0"/>
                <w:position w:val="0"/>
                <w:sz w:val="16"/>
                <w:shd w:fill="auto" w:val="clear"/>
              </w:rPr>
              <w:t xml:space="preserve">IV stepen stru</w:t>
            </w:r>
            <w:r>
              <w:rPr>
                <w:rFonts w:ascii="Tahoma" w:hAnsi="Tahoma" w:cs="Tahoma" w:eastAsia="Tahoma"/>
                <w:b/>
                <w:color w:val="000000"/>
                <w:spacing w:val="0"/>
                <w:position w:val="0"/>
                <w:sz w:val="16"/>
                <w:shd w:fill="auto" w:val="clear"/>
              </w:rPr>
              <w:t xml:space="preserve">čne spreme</w:t>
            </w:r>
          </w:p>
        </w:tc>
        <w:tc>
          <w:tcPr>
            <w:tcW w:w="709" w:type="dxa"/>
            <w:tcBorders>
              <w:top w:val="single" w:color="000000" w:sz="0"/>
              <w:left w:val="single" w:color="836967" w:sz="8"/>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161</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83</w:t>
            </w:r>
          </w:p>
        </w:tc>
        <w:tc>
          <w:tcPr>
            <w:tcW w:w="850"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7</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5</w:t>
            </w:r>
          </w:p>
        </w:tc>
        <w:tc>
          <w:tcPr>
            <w:tcW w:w="68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22</w:t>
            </w:r>
          </w:p>
        </w:tc>
        <w:tc>
          <w:tcPr>
            <w:tcW w:w="58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6</w:t>
            </w:r>
          </w:p>
        </w:tc>
        <w:tc>
          <w:tcPr>
            <w:tcW w:w="70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19</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9</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9</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7</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6</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3</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10</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7</w:t>
            </w:r>
          </w:p>
        </w:tc>
        <w:tc>
          <w:tcPr>
            <w:tcW w:w="70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17</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10</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21</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15</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23</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14</w:t>
            </w:r>
          </w:p>
        </w:tc>
        <w:tc>
          <w:tcPr>
            <w:tcW w:w="68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27</w:t>
            </w:r>
          </w:p>
        </w:tc>
        <w:tc>
          <w:tcPr>
            <w:tcW w:w="58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7</w:t>
            </w:r>
          </w:p>
        </w:tc>
      </w:tr>
      <w:tr>
        <w:trPr>
          <w:trHeight w:val="270" w:hRule="auto"/>
          <w:jc w:val="left"/>
        </w:trPr>
        <w:tc>
          <w:tcPr>
            <w:tcW w:w="1526" w:type="dxa"/>
            <w:tcBorders>
              <w:top w:val="single" w:color="93b1cd" w:sz="8"/>
              <w:left w:val="single" w:color="93b1cd" w:sz="8"/>
              <w:bottom w:val="single" w:color="93b1cd" w:sz="8"/>
              <w:right w:val="single" w:color="93b1cd" w:sz="8"/>
            </w:tcBorders>
            <w:shd w:color="000000" w:fill="f2f1f1" w:val="clear"/>
            <w:tcMar>
              <w:left w:w="108" w:type="dxa"/>
              <w:right w:w="108" w:type="dxa"/>
            </w:tcMar>
            <w:vAlign w:val="center"/>
          </w:tcPr>
          <w:p>
            <w:pPr>
              <w:spacing w:before="0" w:after="0" w:line="240"/>
              <w:ind w:right="0" w:left="0" w:firstLine="0"/>
              <w:jc w:val="left"/>
              <w:rPr>
                <w:spacing w:val="0"/>
                <w:position w:val="0"/>
                <w:shd w:fill="auto" w:val="clear"/>
              </w:rPr>
            </w:pPr>
            <w:r>
              <w:rPr>
                <w:rFonts w:ascii="Tahoma" w:hAnsi="Tahoma" w:cs="Tahoma" w:eastAsia="Tahoma"/>
                <w:b/>
                <w:color w:val="000000"/>
                <w:spacing w:val="0"/>
                <w:position w:val="0"/>
                <w:sz w:val="16"/>
                <w:shd w:fill="auto" w:val="clear"/>
              </w:rPr>
              <w:t xml:space="preserve">V stepen stru</w:t>
            </w:r>
            <w:r>
              <w:rPr>
                <w:rFonts w:ascii="Tahoma" w:hAnsi="Tahoma" w:cs="Tahoma" w:eastAsia="Tahoma"/>
                <w:b/>
                <w:color w:val="000000"/>
                <w:spacing w:val="0"/>
                <w:position w:val="0"/>
                <w:sz w:val="16"/>
                <w:shd w:fill="auto" w:val="clear"/>
              </w:rPr>
              <w:t xml:space="preserve">čne spreme</w:t>
            </w:r>
          </w:p>
        </w:tc>
        <w:tc>
          <w:tcPr>
            <w:tcW w:w="709" w:type="dxa"/>
            <w:tcBorders>
              <w:top w:val="single" w:color="000000" w:sz="0"/>
              <w:left w:val="single" w:color="836967" w:sz="8"/>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0</w:t>
            </w:r>
          </w:p>
        </w:tc>
        <w:tc>
          <w:tcPr>
            <w:tcW w:w="850"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68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58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0</w:t>
            </w:r>
          </w:p>
        </w:tc>
        <w:tc>
          <w:tcPr>
            <w:tcW w:w="68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58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r>
      <w:tr>
        <w:trPr>
          <w:trHeight w:val="270" w:hRule="auto"/>
          <w:jc w:val="left"/>
        </w:trPr>
        <w:tc>
          <w:tcPr>
            <w:tcW w:w="1526" w:type="dxa"/>
            <w:tcBorders>
              <w:top w:val="single" w:color="93b1cd" w:sz="8"/>
              <w:left w:val="single" w:color="93b1cd" w:sz="8"/>
              <w:bottom w:val="single" w:color="93b1cd" w:sz="8"/>
              <w:right w:val="single" w:color="93b1cd" w:sz="8"/>
            </w:tcBorders>
            <w:shd w:color="000000" w:fill="f2f1f1" w:val="clear"/>
            <w:tcMar>
              <w:left w:w="108" w:type="dxa"/>
              <w:right w:w="108" w:type="dxa"/>
            </w:tcMar>
            <w:vAlign w:val="center"/>
          </w:tcPr>
          <w:p>
            <w:pPr>
              <w:spacing w:before="0" w:after="0" w:line="240"/>
              <w:ind w:right="0" w:left="0" w:firstLine="0"/>
              <w:jc w:val="left"/>
              <w:rPr>
                <w:spacing w:val="0"/>
                <w:position w:val="0"/>
                <w:shd w:fill="auto" w:val="clear"/>
              </w:rPr>
            </w:pPr>
            <w:r>
              <w:rPr>
                <w:rFonts w:ascii="Tahoma" w:hAnsi="Tahoma" w:cs="Tahoma" w:eastAsia="Tahoma"/>
                <w:b/>
                <w:color w:val="000000"/>
                <w:spacing w:val="0"/>
                <w:position w:val="0"/>
                <w:sz w:val="16"/>
                <w:shd w:fill="auto" w:val="clear"/>
              </w:rPr>
              <w:t xml:space="preserve">VI-1 stepen stru</w:t>
            </w:r>
            <w:r>
              <w:rPr>
                <w:rFonts w:ascii="Tahoma" w:hAnsi="Tahoma" w:cs="Tahoma" w:eastAsia="Tahoma"/>
                <w:b/>
                <w:color w:val="000000"/>
                <w:spacing w:val="0"/>
                <w:position w:val="0"/>
                <w:sz w:val="16"/>
                <w:shd w:fill="auto" w:val="clear"/>
              </w:rPr>
              <w:t xml:space="preserve">čne spreme</w:t>
            </w:r>
          </w:p>
        </w:tc>
        <w:tc>
          <w:tcPr>
            <w:tcW w:w="709" w:type="dxa"/>
            <w:tcBorders>
              <w:top w:val="single" w:color="000000" w:sz="0"/>
              <w:left w:val="single" w:color="836967" w:sz="8"/>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20</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12</w:t>
            </w:r>
          </w:p>
        </w:tc>
        <w:tc>
          <w:tcPr>
            <w:tcW w:w="850"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68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w:t>
            </w:r>
          </w:p>
        </w:tc>
        <w:tc>
          <w:tcPr>
            <w:tcW w:w="58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w:t>
            </w:r>
          </w:p>
        </w:tc>
        <w:tc>
          <w:tcPr>
            <w:tcW w:w="70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4</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w:t>
            </w:r>
          </w:p>
        </w:tc>
        <w:tc>
          <w:tcPr>
            <w:tcW w:w="70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4</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7</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5</w:t>
            </w:r>
          </w:p>
        </w:tc>
        <w:tc>
          <w:tcPr>
            <w:tcW w:w="68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3</w:t>
            </w:r>
          </w:p>
        </w:tc>
        <w:tc>
          <w:tcPr>
            <w:tcW w:w="58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w:t>
            </w:r>
          </w:p>
        </w:tc>
      </w:tr>
      <w:tr>
        <w:trPr>
          <w:trHeight w:val="270" w:hRule="auto"/>
          <w:jc w:val="left"/>
        </w:trPr>
        <w:tc>
          <w:tcPr>
            <w:tcW w:w="1526" w:type="dxa"/>
            <w:tcBorders>
              <w:top w:val="single" w:color="93b1cd" w:sz="8"/>
              <w:left w:val="single" w:color="93b1cd" w:sz="8"/>
              <w:bottom w:val="single" w:color="93b1cd" w:sz="8"/>
              <w:right w:val="single" w:color="93b1cd" w:sz="8"/>
            </w:tcBorders>
            <w:shd w:color="000000" w:fill="f2f1f1" w:val="clear"/>
            <w:tcMar>
              <w:left w:w="108" w:type="dxa"/>
              <w:right w:w="108" w:type="dxa"/>
            </w:tcMar>
            <w:vAlign w:val="center"/>
          </w:tcPr>
          <w:p>
            <w:pPr>
              <w:spacing w:before="0" w:after="0" w:line="240"/>
              <w:ind w:right="0" w:left="0" w:firstLine="0"/>
              <w:jc w:val="left"/>
              <w:rPr>
                <w:spacing w:val="0"/>
                <w:position w:val="0"/>
                <w:shd w:fill="auto" w:val="clear"/>
              </w:rPr>
            </w:pPr>
            <w:r>
              <w:rPr>
                <w:rFonts w:ascii="Tahoma" w:hAnsi="Tahoma" w:cs="Tahoma" w:eastAsia="Tahoma"/>
                <w:b/>
                <w:color w:val="000000"/>
                <w:spacing w:val="0"/>
                <w:position w:val="0"/>
                <w:sz w:val="16"/>
                <w:shd w:fill="auto" w:val="clear"/>
              </w:rPr>
              <w:t xml:space="preserve">VI-2 stepen stru</w:t>
            </w:r>
            <w:r>
              <w:rPr>
                <w:rFonts w:ascii="Tahoma" w:hAnsi="Tahoma" w:cs="Tahoma" w:eastAsia="Tahoma"/>
                <w:b/>
                <w:color w:val="000000"/>
                <w:spacing w:val="0"/>
                <w:position w:val="0"/>
                <w:sz w:val="16"/>
                <w:shd w:fill="auto" w:val="clear"/>
              </w:rPr>
              <w:t xml:space="preserve">čne spreme</w:t>
            </w:r>
          </w:p>
        </w:tc>
        <w:tc>
          <w:tcPr>
            <w:tcW w:w="709" w:type="dxa"/>
            <w:tcBorders>
              <w:top w:val="single" w:color="000000" w:sz="0"/>
              <w:left w:val="single" w:color="836967" w:sz="8"/>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13</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6</w:t>
            </w:r>
          </w:p>
        </w:tc>
        <w:tc>
          <w:tcPr>
            <w:tcW w:w="850"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68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4</w:t>
            </w:r>
          </w:p>
        </w:tc>
        <w:tc>
          <w:tcPr>
            <w:tcW w:w="58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3</w:t>
            </w:r>
          </w:p>
        </w:tc>
        <w:tc>
          <w:tcPr>
            <w:tcW w:w="70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0</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3</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0</w:t>
            </w:r>
          </w:p>
        </w:tc>
        <w:tc>
          <w:tcPr>
            <w:tcW w:w="70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0</w:t>
            </w:r>
          </w:p>
        </w:tc>
        <w:tc>
          <w:tcPr>
            <w:tcW w:w="68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58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r>
      <w:tr>
        <w:trPr>
          <w:trHeight w:val="270" w:hRule="auto"/>
          <w:jc w:val="left"/>
        </w:trPr>
        <w:tc>
          <w:tcPr>
            <w:tcW w:w="1526" w:type="dxa"/>
            <w:tcBorders>
              <w:top w:val="single" w:color="93b1cd" w:sz="8"/>
              <w:left w:val="single" w:color="93b1cd" w:sz="8"/>
              <w:bottom w:val="single" w:color="93b1cd" w:sz="8"/>
              <w:right w:val="single" w:color="93b1cd" w:sz="8"/>
            </w:tcBorders>
            <w:shd w:color="000000" w:fill="f2f1f1" w:val="clear"/>
            <w:tcMar>
              <w:left w:w="108" w:type="dxa"/>
              <w:right w:w="108" w:type="dxa"/>
            </w:tcMar>
            <w:vAlign w:val="center"/>
          </w:tcPr>
          <w:p>
            <w:pPr>
              <w:spacing w:before="0" w:after="0" w:line="240"/>
              <w:ind w:right="0" w:left="0" w:firstLine="0"/>
              <w:jc w:val="left"/>
              <w:rPr>
                <w:spacing w:val="0"/>
                <w:position w:val="0"/>
                <w:shd w:fill="auto" w:val="clear"/>
              </w:rPr>
            </w:pPr>
            <w:r>
              <w:rPr>
                <w:rFonts w:ascii="Tahoma" w:hAnsi="Tahoma" w:cs="Tahoma" w:eastAsia="Tahoma"/>
                <w:b/>
                <w:color w:val="000000"/>
                <w:spacing w:val="0"/>
                <w:position w:val="0"/>
                <w:sz w:val="16"/>
                <w:shd w:fill="auto" w:val="clear"/>
              </w:rPr>
              <w:t xml:space="preserve">VII-1 stepen stru</w:t>
            </w:r>
            <w:r>
              <w:rPr>
                <w:rFonts w:ascii="Tahoma" w:hAnsi="Tahoma" w:cs="Tahoma" w:eastAsia="Tahoma"/>
                <w:b/>
                <w:color w:val="000000"/>
                <w:spacing w:val="0"/>
                <w:position w:val="0"/>
                <w:sz w:val="16"/>
                <w:shd w:fill="auto" w:val="clear"/>
              </w:rPr>
              <w:t xml:space="preserve">čne spreme</w:t>
            </w:r>
          </w:p>
        </w:tc>
        <w:tc>
          <w:tcPr>
            <w:tcW w:w="709" w:type="dxa"/>
            <w:tcBorders>
              <w:top w:val="single" w:color="000000" w:sz="0"/>
              <w:left w:val="single" w:color="836967" w:sz="8"/>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25</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10</w:t>
            </w:r>
          </w:p>
        </w:tc>
        <w:tc>
          <w:tcPr>
            <w:tcW w:w="850"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68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w:t>
            </w:r>
          </w:p>
        </w:tc>
        <w:tc>
          <w:tcPr>
            <w:tcW w:w="58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w:t>
            </w:r>
          </w:p>
        </w:tc>
        <w:tc>
          <w:tcPr>
            <w:tcW w:w="70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5</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3</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w:t>
            </w:r>
          </w:p>
        </w:tc>
        <w:tc>
          <w:tcPr>
            <w:tcW w:w="70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ahoma" w:hAnsi="Tahoma" w:cs="Tahoma" w:eastAsia="Tahoma"/>
                <w:color w:val="000000"/>
                <w:spacing w:val="0"/>
                <w:position w:val="0"/>
                <w:sz w:val="22"/>
                <w:shd w:fill="auto" w:val="clear"/>
              </w:rPr>
              <w:t xml:space="preserve"> </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6</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2</w:t>
            </w:r>
          </w:p>
        </w:tc>
        <w:tc>
          <w:tcPr>
            <w:tcW w:w="709"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5</w:t>
            </w:r>
          </w:p>
        </w:tc>
        <w:tc>
          <w:tcPr>
            <w:tcW w:w="56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w:t>
            </w:r>
          </w:p>
        </w:tc>
        <w:tc>
          <w:tcPr>
            <w:tcW w:w="688"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3</w:t>
            </w:r>
          </w:p>
        </w:tc>
        <w:tc>
          <w:tcPr>
            <w:tcW w:w="587" w:type="dxa"/>
            <w:tcBorders>
              <w:top w:val="single" w:color="000000" w:sz="0"/>
              <w:left w:val="single" w:color="000000" w:sz="0"/>
              <w:bottom w:val="single" w:color="836967" w:sz="8"/>
              <w:right w:val="single" w:color="836967" w:sz="8"/>
            </w:tcBorders>
            <w:shd w:color="000000" w:fill="f2f1f1" w:val="clear"/>
            <w:tcMar>
              <w:left w:w="108" w:type="dxa"/>
              <w:right w:w="108" w:type="dxa"/>
            </w:tcMar>
            <w:vAlign w:val="top"/>
          </w:tcPr>
          <w:p>
            <w:pPr>
              <w:spacing w:before="0" w:after="0" w:line="240"/>
              <w:ind w:right="0" w:left="0" w:firstLine="0"/>
              <w:jc w:val="right"/>
              <w:rPr>
                <w:spacing w:val="0"/>
                <w:position w:val="0"/>
                <w:shd w:fill="auto" w:val="clear"/>
              </w:rPr>
            </w:pPr>
            <w:r>
              <w:rPr>
                <w:rFonts w:ascii="Tahoma" w:hAnsi="Tahoma" w:cs="Tahoma" w:eastAsia="Tahoma"/>
                <w:b/>
                <w:color w:val="000000"/>
                <w:spacing w:val="0"/>
                <w:position w:val="0"/>
                <w:sz w:val="16"/>
                <w:shd w:fill="auto" w:val="clear"/>
              </w:rPr>
              <w:t xml:space="preserve">1</w:t>
            </w:r>
          </w:p>
        </w:tc>
      </w:tr>
    </w:tbl>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0" w:leader="none"/>
        </w:tabs>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Привреда</w:t>
      </w:r>
    </w:p>
    <w:p>
      <w:pPr>
        <w:tabs>
          <w:tab w:val="left" w:pos="0" w:leader="none"/>
        </w:tabs>
        <w:spacing w:before="0" w:after="0" w:line="283"/>
        <w:ind w:right="0" w:left="0" w:firstLine="0"/>
        <w:jc w:val="left"/>
        <w:rPr>
          <w:rFonts w:ascii="Times New Roman" w:hAnsi="Times New Roman" w:cs="Times New Roman" w:eastAsia="Times New Roman"/>
          <w:color w:val="auto"/>
          <w:spacing w:val="0"/>
          <w:position w:val="0"/>
          <w:sz w:val="22"/>
          <w:shd w:fill="auto" w:val="clear"/>
        </w:rPr>
      </w:pPr>
    </w:p>
    <w:p>
      <w:pPr>
        <w:tabs>
          <w:tab w:val="left" w:pos="0" w:leader="none"/>
        </w:tabs>
        <w:spacing w:before="0" w:after="0" w:line="240"/>
        <w:ind w:right="20" w:left="-9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Према Уредби о утврђивању јединствене листе развијености региона и јединица локалне самоуправе за 2014. годину, општина Сента спада у прву групу, коју чине 23 јединице локалне самоуправе чији је степен развијености изнад републичког просека.</w:t>
      </w:r>
    </w:p>
    <w:p>
      <w:pPr>
        <w:tabs>
          <w:tab w:val="left" w:pos="0" w:leader="none"/>
        </w:tabs>
        <w:spacing w:before="0" w:after="0" w:line="290"/>
        <w:ind w:right="0" w:left="-90" w:firstLine="0"/>
        <w:jc w:val="left"/>
        <w:rPr>
          <w:rFonts w:ascii="Times New Roman" w:hAnsi="Times New Roman" w:cs="Times New Roman" w:eastAsia="Times New Roman"/>
          <w:color w:val="auto"/>
          <w:spacing w:val="0"/>
          <w:position w:val="0"/>
          <w:sz w:val="22"/>
          <w:shd w:fill="auto" w:val="clear"/>
        </w:rPr>
      </w:pPr>
    </w:p>
    <w:p>
      <w:pPr>
        <w:tabs>
          <w:tab w:val="left" w:pos="0" w:leader="none"/>
        </w:tabs>
        <w:spacing w:before="0" w:after="0" w:line="240"/>
        <w:ind w:right="20" w:left="-9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Општина Сента годинама уназад развија комплексан привредни амбијент који треба да допринесе привредној успешности наше локалне заједнице. Трудимо се да обезбедимо све предуслове који ће привредницима дати осећај сигурности, административну и техничку подршку за развој њиховог пословања. Сматрамо да је предузетништво, посебно мало и средње, окосница развоја мањих општина као што је Сента.</w:t>
      </w:r>
    </w:p>
    <w:p>
      <w:pPr>
        <w:tabs>
          <w:tab w:val="left" w:pos="0" w:leader="none"/>
        </w:tabs>
        <w:spacing w:before="0" w:after="0" w:line="294"/>
        <w:ind w:right="0" w:left="-90" w:firstLine="0"/>
        <w:jc w:val="left"/>
        <w:rPr>
          <w:rFonts w:ascii="Times New Roman" w:hAnsi="Times New Roman" w:cs="Times New Roman" w:eastAsia="Times New Roman"/>
          <w:color w:val="auto"/>
          <w:spacing w:val="0"/>
          <w:position w:val="0"/>
          <w:sz w:val="22"/>
          <w:shd w:fill="auto" w:val="clear"/>
        </w:rPr>
      </w:pPr>
    </w:p>
    <w:p>
      <w:pPr>
        <w:tabs>
          <w:tab w:val="left" w:pos="0" w:leader="none"/>
        </w:tabs>
        <w:spacing w:before="0" w:after="0" w:line="240"/>
        <w:ind w:right="20" w:left="-9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Општина Сента је један од оснивача Пословног инкубатора који послује у Сенти. Пословни инкубатор служи као подршка развоју Старт ап предузетништва и обезбеђује широк спектар услуга за предузетнике које требају да допринесу оснаживању њиховог пословања, а како би били способни да после периода инкубације изађу на тржиште као већ чврсто формирана предузећа.</w:t>
      </w:r>
    </w:p>
    <w:p>
      <w:pPr>
        <w:tabs>
          <w:tab w:val="left" w:pos="0" w:leader="none"/>
        </w:tabs>
        <w:spacing w:before="0" w:after="0" w:line="293"/>
        <w:ind w:right="0" w:left="-90" w:firstLine="0"/>
        <w:jc w:val="left"/>
        <w:rPr>
          <w:rFonts w:ascii="Times New Roman" w:hAnsi="Times New Roman" w:cs="Times New Roman" w:eastAsia="Times New Roman"/>
          <w:color w:val="auto"/>
          <w:spacing w:val="0"/>
          <w:position w:val="0"/>
          <w:sz w:val="22"/>
          <w:shd w:fill="auto" w:val="clear"/>
        </w:rPr>
      </w:pPr>
    </w:p>
    <w:p>
      <w:pPr>
        <w:numPr>
          <w:ilvl w:val="0"/>
          <w:numId w:val="426"/>
        </w:numPr>
        <w:tabs>
          <w:tab w:val="left" w:pos="0" w:leader="none"/>
          <w:tab w:val="left" w:pos="955" w:leader="none"/>
        </w:tabs>
        <w:spacing w:before="0" w:after="0" w:line="240"/>
        <w:ind w:right="0" w:left="-9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општини Сента постоји успостављена индустријска зона. Индустријска зона је инфраструктурно опремљена и са више гринфилд парцела стоји на располагању заинтересованим предузетницима-инвеститорима. На територији општине успешно послује неколико великих привредника: Јapan Tobacco International, Biospringer, Житопромет млин, Rasco Tamp, Tisza Automotive  и друге.</w:t>
      </w:r>
    </w:p>
    <w:p>
      <w:pPr>
        <w:spacing w:before="0" w:after="0" w:line="288"/>
        <w:ind w:right="0" w:left="0" w:firstLine="0"/>
        <w:jc w:val="left"/>
        <w:rPr>
          <w:rFonts w:ascii="Times New Roman" w:hAnsi="Times New Roman" w:cs="Times New Roman" w:eastAsia="Times New Roman"/>
          <w:color w:val="auto"/>
          <w:spacing w:val="0"/>
          <w:position w:val="0"/>
          <w:sz w:val="22"/>
          <w:shd w:fill="auto" w:val="clear"/>
        </w:rPr>
      </w:pPr>
    </w:p>
    <w:p>
      <w:pPr>
        <w:tabs>
          <w:tab w:val="left" w:pos="0" w:leader="none"/>
        </w:tabs>
        <w:spacing w:before="0" w:after="0" w:line="240"/>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Такође, постоји Удружење предузетника које пружа административну подршку предузетницима. Према последњем попису становништа из 2022. године, укупан број становника износи 17.953. На територији наше општине послује 769 привредних друштава и предузетника, док имамо 1.878 регистрованих пољопривредних газдинстава. Оно што је важно нагластити јесте стручни, професионални приступ Локалне самоуправе према предузетницима и инвеститорима. Наиме, сваки предузетник или инвеститор захтева посебну подршку у зависности од делатности којом се бави. Локална самоуправа за конкретне случајеве формира стручне тимове које ставља на располагање инвеститорима са циљем реализације инвестиције.</w:t>
      </w:r>
    </w:p>
    <w:p>
      <w:pPr>
        <w:spacing w:before="0" w:after="0" w:line="290"/>
        <w:ind w:right="0" w:left="0" w:firstLine="0"/>
        <w:jc w:val="left"/>
        <w:rPr>
          <w:rFonts w:ascii="Times New Roman" w:hAnsi="Times New Roman" w:cs="Times New Roman" w:eastAsia="Times New Roman"/>
          <w:color w:val="auto"/>
          <w:spacing w:val="0"/>
          <w:position w:val="0"/>
          <w:sz w:val="22"/>
          <w:shd w:fill="auto" w:val="clear"/>
        </w:rPr>
      </w:pPr>
    </w:p>
    <w:p>
      <w:pPr>
        <w:tabs>
          <w:tab w:val="left" w:pos="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Оно чему локална самоуправа тежи јесте целокупни развој локалне заједнице. Сматрамо да предузетништво и привреда дају покретачку снагу, а наш задатак је да развијамо остале сегменте који су потребни да би се створила једна здрава средина, не само за пословање, већ за живот уопште. Сходно томе, протеклих година смо реализовали низ великих капиталних пројеката који су од изузетне важности за наше грађане. Унапређена је комунална инфраструктура, изграђен је спортски центар, реконструисано је више објеката образовних установа, реконструисан је објекат Дома здравља, итд. Такође, локална самоуправа улаже напоре да се унапреди привредни амбијент у Сенти, а са аспекта развоја привредне инфраструктуре. На нашу иницијативу, уведена је железничка линија Суботица – Сента. Реконструкцијом је обезбеђена већа носивост и омогућена већа брзина кретања. Овим смо отворили још једну могућност за привреднике са територије Сенте. Уколико се успостави железничка линија Београд – Будимпешта у великом мери ће бити унапређен саобраћај између две државе и биће отворена могућност за привредни транспорт, а по рентабилној цени. Важно је напоменути да смо били укључени и у иницијативу за проглашење реке Тисе међународним пловним путем у чему смо и успели. У Сенти на Тиси постоји међународна лука опремљена за пријем и истовар различитих врста робе.</w:t>
      </w:r>
    </w:p>
    <w:p>
      <w:pPr>
        <w:spacing w:before="0" w:after="0" w:line="29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159" w:left="0" w:firstLine="0"/>
        <w:jc w:val="left"/>
        <w:rPr>
          <w:rFonts w:ascii="Times New Roman" w:hAnsi="Times New Roman" w:cs="Times New Roman" w:eastAsia="Times New Roman"/>
          <w:color w:val="auto"/>
          <w:spacing w:val="0"/>
          <w:position w:val="0"/>
          <w:sz w:val="22"/>
          <w:shd w:fill="auto" w:val="clear"/>
        </w:rPr>
      </w:pPr>
    </w:p>
    <w:p>
      <w:pPr>
        <w:tabs>
          <w:tab w:val="left" w:pos="1080" w:leader="none"/>
        </w:tabs>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 </w:t>
      </w:r>
      <w:r>
        <w:rPr>
          <w:rFonts w:ascii="Times New Roman" w:hAnsi="Times New Roman" w:cs="Times New Roman" w:eastAsia="Times New Roman"/>
          <w:b/>
          <w:color w:val="auto"/>
          <w:spacing w:val="0"/>
          <w:position w:val="0"/>
          <w:sz w:val="28"/>
          <w:shd w:fill="auto" w:val="clear"/>
        </w:rPr>
        <w:t xml:space="preserve">ПОДАЦИ О ИЗБЕГЛИМ И ИНТЕРНО РАСЕЉЕНИМ ЛИЦИМА</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numPr>
          <w:ilvl w:val="0"/>
          <w:numId w:val="436"/>
        </w:numPr>
        <w:tabs>
          <w:tab w:val="left" w:pos="3960" w:leader="none"/>
        </w:tabs>
        <w:spacing w:before="0" w:after="0" w:line="240"/>
        <w:ind w:right="0" w:left="3960" w:hanging="272"/>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ОПШТИНИ СЕНТА</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35"/>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1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Извори података о избеглим и интерно расељеним лицима у општини Сента су:</w:t>
      </w:r>
    </w:p>
    <w:p>
      <w:pPr>
        <w:spacing w:before="0" w:after="0" w:line="240"/>
        <w:ind w:right="0" w:left="100" w:firstLine="0"/>
        <w:jc w:val="left"/>
        <w:rPr>
          <w:rFonts w:ascii="Times New Roman" w:hAnsi="Times New Roman" w:cs="Times New Roman" w:eastAsia="Times New Roman"/>
          <w:color w:val="auto"/>
          <w:spacing w:val="0"/>
          <w:position w:val="0"/>
          <w:sz w:val="24"/>
          <w:shd w:fill="auto" w:val="clear"/>
        </w:rPr>
      </w:pPr>
    </w:p>
    <w:p>
      <w:pPr>
        <w:numPr>
          <w:ilvl w:val="0"/>
          <w:numId w:val="440"/>
        </w:numPr>
        <w:spacing w:before="0" w:after="0" w:line="240"/>
        <w:ind w:right="0" w:left="8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званични пописи и регистрације које је организовао Комесаријат за избеглице и миграције и УНХЦР и</w:t>
      </w:r>
    </w:p>
    <w:p>
      <w:pPr>
        <w:numPr>
          <w:ilvl w:val="0"/>
          <w:numId w:val="440"/>
        </w:numPr>
        <w:spacing w:before="0" w:after="0" w:line="240"/>
        <w:ind w:right="0" w:left="8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евиденција Повереништва у Сенти</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80"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Преглед података Комесаријата за избеглице и миграције о избеглицима, ратом угроженим лицима и интерно расељеним лицима на територији општине Сента, према званичним пописима: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018"/>
        <w:gridCol w:w="1005"/>
        <w:gridCol w:w="1026"/>
        <w:gridCol w:w="1019"/>
        <w:gridCol w:w="995"/>
        <w:gridCol w:w="1031"/>
        <w:gridCol w:w="1031"/>
        <w:gridCol w:w="677"/>
        <w:gridCol w:w="992"/>
        <w:gridCol w:w="992"/>
      </w:tblGrid>
      <w:tr>
        <w:trPr>
          <w:trHeight w:val="1" w:hRule="atLeast"/>
          <w:jc w:val="left"/>
        </w:trPr>
        <w:tc>
          <w:tcPr>
            <w:tcW w:w="2023" w:type="dxa"/>
            <w:gridSpan w:val="2"/>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318"/>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Избеглице попис 1996.</w:t>
            </w:r>
          </w:p>
        </w:tc>
        <w:tc>
          <w:tcPr>
            <w:tcW w:w="2045" w:type="dxa"/>
            <w:gridSpan w:val="2"/>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318"/>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Избеглице попис </w:t>
            </w:r>
          </w:p>
          <w:p>
            <w:pPr>
              <w:spacing w:before="0" w:after="0" w:line="318"/>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2001.</w:t>
            </w:r>
          </w:p>
        </w:tc>
        <w:tc>
          <w:tcPr>
            <w:tcW w:w="3057" w:type="dxa"/>
            <w:gridSpan w:val="3"/>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318"/>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Избеглице попис</w:t>
            </w:r>
          </w:p>
        </w:tc>
        <w:tc>
          <w:tcPr>
            <w:tcW w:w="2661" w:type="dxa"/>
            <w:gridSpan w:val="3"/>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318"/>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Интерно расељена лица</w:t>
            </w:r>
          </w:p>
        </w:tc>
      </w:tr>
      <w:tr>
        <w:trPr>
          <w:trHeight w:val="1" w:hRule="atLeast"/>
          <w:jc w:val="left"/>
        </w:trPr>
        <w:tc>
          <w:tcPr>
            <w:tcW w:w="101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Ратом угрожена лица</w:t>
            </w:r>
          </w:p>
        </w:tc>
        <w:tc>
          <w:tcPr>
            <w:tcW w:w="1005"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Остала лица</w:t>
            </w:r>
          </w:p>
        </w:tc>
        <w:tc>
          <w:tcPr>
            <w:tcW w:w="102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Избеглице</w:t>
            </w:r>
          </w:p>
        </w:tc>
        <w:tc>
          <w:tcPr>
            <w:tcW w:w="1019"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Ратом угрожена лица</w:t>
            </w:r>
          </w:p>
        </w:tc>
        <w:tc>
          <w:tcPr>
            <w:tcW w:w="995"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2004.</w:t>
            </w:r>
          </w:p>
        </w:tc>
        <w:tc>
          <w:tcPr>
            <w:tcW w:w="103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На дан 22.08.2008.</w:t>
            </w:r>
          </w:p>
        </w:tc>
        <w:tc>
          <w:tcPr>
            <w:tcW w:w="103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На дан 21.03.2024.</w:t>
            </w:r>
          </w:p>
        </w:tc>
        <w:tc>
          <w:tcPr>
            <w:tcW w:w="67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На дан 25.08.2008.</w:t>
            </w:r>
          </w:p>
        </w:tc>
        <w:tc>
          <w:tcPr>
            <w:tcW w:w="99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На дан 21.03.2024.</w:t>
            </w:r>
          </w:p>
        </w:tc>
      </w:tr>
      <w:tr>
        <w:trPr>
          <w:trHeight w:val="1" w:hRule="atLeast"/>
          <w:jc w:val="left"/>
        </w:trPr>
        <w:tc>
          <w:tcPr>
            <w:tcW w:w="101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318"/>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209</w:t>
            </w:r>
          </w:p>
        </w:tc>
        <w:tc>
          <w:tcPr>
            <w:tcW w:w="1005"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318"/>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92</w:t>
            </w:r>
          </w:p>
        </w:tc>
        <w:tc>
          <w:tcPr>
            <w:tcW w:w="102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318"/>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144</w:t>
            </w:r>
          </w:p>
        </w:tc>
        <w:tc>
          <w:tcPr>
            <w:tcW w:w="1019"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318"/>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50</w:t>
            </w:r>
          </w:p>
        </w:tc>
        <w:tc>
          <w:tcPr>
            <w:tcW w:w="995"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318"/>
              <w:ind w:right="0" w:left="0" w:firstLine="0"/>
              <w:jc w:val="center"/>
              <w:rPr>
                <w:color w:val="auto"/>
                <w:spacing w:val="0"/>
                <w:position w:val="0"/>
                <w:sz w:val="22"/>
              </w:rPr>
            </w:pPr>
            <w:r>
              <w:rPr>
                <w:rFonts w:ascii="Times New Roman" w:hAnsi="Times New Roman" w:cs="Times New Roman" w:eastAsia="Times New Roman"/>
                <w:color w:val="auto"/>
                <w:spacing w:val="0"/>
                <w:position w:val="0"/>
                <w:sz w:val="22"/>
                <w:shd w:fill="FFFF00" w:val="clear"/>
              </w:rPr>
              <w:t xml:space="preserve">27</w:t>
            </w:r>
          </w:p>
        </w:tc>
        <w:tc>
          <w:tcPr>
            <w:tcW w:w="103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318"/>
              <w:ind w:right="0" w:left="0" w:firstLine="0"/>
              <w:jc w:val="center"/>
              <w:rPr>
                <w:color w:val="auto"/>
                <w:spacing w:val="0"/>
                <w:position w:val="0"/>
                <w:sz w:val="22"/>
              </w:rPr>
            </w:pPr>
            <w:r>
              <w:rPr>
                <w:rFonts w:ascii="Times New Roman" w:hAnsi="Times New Roman" w:cs="Times New Roman" w:eastAsia="Times New Roman"/>
                <w:color w:val="auto"/>
                <w:spacing w:val="0"/>
                <w:position w:val="0"/>
                <w:sz w:val="22"/>
                <w:shd w:fill="FFFF00" w:val="clear"/>
              </w:rPr>
              <w:t xml:space="preserve">25??</w:t>
            </w:r>
          </w:p>
        </w:tc>
        <w:tc>
          <w:tcPr>
            <w:tcW w:w="103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318"/>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58</w:t>
            </w:r>
          </w:p>
        </w:tc>
        <w:tc>
          <w:tcPr>
            <w:tcW w:w="67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318"/>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318"/>
              <w:ind w:right="0" w:left="0" w:firstLine="0"/>
              <w:jc w:val="center"/>
              <w:rPr>
                <w:rFonts w:ascii="Times New Roman" w:hAnsi="Times New Roman" w:cs="Times New Roman" w:eastAsia="Times New Roman"/>
                <w:color w:val="auto"/>
                <w:spacing w:val="0"/>
                <w:position w:val="0"/>
                <w:sz w:val="22"/>
                <w:shd w:fill="FFFF00" w:val="clear"/>
              </w:rPr>
            </w:pPr>
            <w:r>
              <w:rPr>
                <w:rFonts w:ascii="Times New Roman" w:hAnsi="Times New Roman" w:cs="Times New Roman" w:eastAsia="Times New Roman"/>
                <w:color w:val="auto"/>
                <w:spacing w:val="0"/>
                <w:position w:val="0"/>
                <w:sz w:val="22"/>
                <w:shd w:fill="FFFF00" w:val="clear"/>
              </w:rPr>
              <w:t xml:space="preserve">4</w:t>
            </w:r>
          </w:p>
          <w:p>
            <w:pPr>
              <w:spacing w:before="0" w:after="0" w:line="318"/>
              <w:ind w:right="0" w:left="0" w:firstLine="0"/>
              <w:jc w:val="center"/>
              <w:rPr>
                <w:color w:val="auto"/>
                <w:spacing w:val="0"/>
                <w:position w:val="0"/>
                <w:sz w:val="22"/>
              </w:rPr>
            </w:pPr>
            <w:r>
              <w:rPr>
                <w:rFonts w:ascii="Times New Roman" w:hAnsi="Times New Roman" w:cs="Times New Roman" w:eastAsia="Times New Roman"/>
                <w:color w:val="auto"/>
                <w:spacing w:val="0"/>
                <w:position w:val="0"/>
                <w:sz w:val="22"/>
                <w:shd w:fill="FFFF00" w:val="clear"/>
              </w:rPr>
              <w:t xml:space="preserve">4</w:t>
            </w:r>
          </w:p>
        </w:tc>
        <w:tc>
          <w:tcPr>
            <w:tcW w:w="99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318"/>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w:t>
            </w:r>
          </w:p>
        </w:tc>
      </w:tr>
      <w:tr>
        <w:trPr>
          <w:trHeight w:val="1" w:hRule="atLeast"/>
          <w:jc w:val="left"/>
        </w:trPr>
        <w:tc>
          <w:tcPr>
            <w:tcW w:w="2023" w:type="dxa"/>
            <w:gridSpan w:val="2"/>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318"/>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301</w:t>
            </w:r>
          </w:p>
        </w:tc>
        <w:tc>
          <w:tcPr>
            <w:tcW w:w="2045" w:type="dxa"/>
            <w:gridSpan w:val="2"/>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318"/>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194</w:t>
            </w:r>
          </w:p>
        </w:tc>
        <w:tc>
          <w:tcPr>
            <w:tcW w:w="995"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318"/>
              <w:ind w:right="0" w:left="0" w:firstLine="0"/>
              <w:jc w:val="center"/>
              <w:rPr>
                <w:rFonts w:ascii="Calibri" w:hAnsi="Calibri" w:cs="Calibri" w:eastAsia="Calibri"/>
                <w:color w:val="auto"/>
                <w:spacing w:val="0"/>
                <w:position w:val="0"/>
                <w:sz w:val="22"/>
                <w:shd w:fill="auto" w:val="clear"/>
              </w:rPr>
            </w:pPr>
          </w:p>
        </w:tc>
        <w:tc>
          <w:tcPr>
            <w:tcW w:w="103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318"/>
              <w:ind w:right="0" w:left="0" w:firstLine="0"/>
              <w:jc w:val="center"/>
              <w:rPr>
                <w:color w:val="auto"/>
                <w:spacing w:val="0"/>
                <w:position w:val="0"/>
                <w:sz w:val="22"/>
              </w:rPr>
            </w:pPr>
            <w:r>
              <w:rPr>
                <w:rFonts w:ascii="Times New Roman" w:hAnsi="Times New Roman" w:cs="Times New Roman" w:eastAsia="Times New Roman"/>
                <w:color w:val="auto"/>
                <w:spacing w:val="0"/>
                <w:position w:val="0"/>
                <w:sz w:val="22"/>
                <w:shd w:fill="FFFF00" w:val="clear"/>
              </w:rPr>
              <w:t xml:space="preserve">??</w:t>
            </w:r>
          </w:p>
        </w:tc>
        <w:tc>
          <w:tcPr>
            <w:tcW w:w="103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318"/>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58</w:t>
            </w:r>
          </w:p>
        </w:tc>
        <w:tc>
          <w:tcPr>
            <w:tcW w:w="67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318"/>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318"/>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w:t>
            </w:r>
          </w:p>
        </w:tc>
        <w:tc>
          <w:tcPr>
            <w:tcW w:w="99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318"/>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8</w:t>
            </w:r>
          </w:p>
        </w:tc>
      </w:tr>
    </w:tbl>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40"/>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457"/>
        </w:numPr>
        <w:tabs>
          <w:tab w:val="left" w:pos="369" w:leader="none"/>
        </w:tabs>
        <w:spacing w:before="0" w:after="0" w:line="240"/>
        <w:ind w:right="220" w:left="100" w:firstLine="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периоду од 1992. године до данас у општини Сента је према подацима Повереништва за избеглице и миграције евидентирано 301 избегло и прогнано лице из бивших југословенских република и од 1999-2009 евидентирано је 25 интерно расељених лица са Косова и Метохије.</w:t>
      </w:r>
    </w:p>
    <w:p>
      <w:pPr>
        <w:spacing w:before="0" w:after="0" w:line="306"/>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2"/>
        <w:ind w:right="20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Према подацима Повереништва за избеглице општине Сента у марту 2024. на евиденцији се налази:  </w:t>
      </w:r>
    </w:p>
    <w:p>
      <w:pPr>
        <w:numPr>
          <w:ilvl w:val="0"/>
          <w:numId w:val="460"/>
        </w:numPr>
        <w:spacing w:before="0" w:after="0" w:line="242"/>
        <w:ind w:right="20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58 </w:t>
      </w:r>
      <w:r>
        <w:rPr>
          <w:rFonts w:ascii="Times New Roman" w:hAnsi="Times New Roman" w:cs="Times New Roman" w:eastAsia="Times New Roman"/>
          <w:color w:val="auto"/>
          <w:spacing w:val="0"/>
          <w:position w:val="0"/>
          <w:sz w:val="24"/>
          <w:shd w:fill="auto" w:val="clear"/>
        </w:rPr>
        <w:t xml:space="preserve">лица избеглица из Хрватске и БиХ .</w:t>
      </w:r>
    </w:p>
    <w:p>
      <w:pPr>
        <w:numPr>
          <w:ilvl w:val="0"/>
          <w:numId w:val="460"/>
        </w:numPr>
        <w:spacing w:before="0" w:after="0" w:line="242"/>
        <w:ind w:right="20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w:t>
      </w:r>
      <w:r>
        <w:rPr>
          <w:rFonts w:ascii="Times New Roman" w:hAnsi="Times New Roman" w:cs="Times New Roman" w:eastAsia="Times New Roman"/>
          <w:color w:val="auto"/>
          <w:spacing w:val="0"/>
          <w:position w:val="0"/>
          <w:sz w:val="24"/>
          <w:shd w:fill="auto" w:val="clear"/>
        </w:rPr>
        <w:t xml:space="preserve">интерно расељена лица (подаци ПС Сента).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 периоду пре 2020. године на евиденцији је било много мање лица, али услед акције доделе помоћи у виду хуманитарних пакета хране од стране  Покрајинског фонда за помоћ за  избегла и прогнана лица у току пандемије, изаване COVID 19 вирусом, 2020. године успели смо да контактирамо много већи број лица  како је и приказано у горњој табели.</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37"/>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159"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159"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466"/>
        </w:numPr>
        <w:tabs>
          <w:tab w:val="left" w:pos="2560" w:leader="none"/>
        </w:tabs>
        <w:spacing w:before="0" w:after="0" w:line="240"/>
        <w:ind w:right="0" w:left="2560" w:hanging="288"/>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АНАЛИЗА СИТУАЦИЈЕ И ЗАКЉУЧЦИ</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16"/>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Анализа контекста или радног окружења је обухватила четири врсте квалитативних анализа:</w:t>
      </w:r>
    </w:p>
    <w:p>
      <w:pPr>
        <w:spacing w:before="0" w:after="0" w:line="288"/>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471"/>
        </w:numPr>
        <w:tabs>
          <w:tab w:val="left" w:pos="720" w:leader="none"/>
        </w:tabs>
        <w:spacing w:before="0" w:after="0" w:line="240"/>
        <w:ind w:right="0" w:left="720" w:hanging="360"/>
        <w:jc w:val="left"/>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4"/>
          <w:shd w:fill="auto" w:val="clear"/>
        </w:rPr>
        <w:t xml:space="preserve">Анализа документације о ширем окружењу;</w:t>
      </w:r>
    </w:p>
    <w:p>
      <w:pPr>
        <w:spacing w:before="0" w:after="0" w:line="240"/>
        <w:ind w:right="0" w:left="0" w:firstLine="0"/>
        <w:jc w:val="left"/>
        <w:rPr>
          <w:rFonts w:ascii="Times New Roman" w:hAnsi="Times New Roman" w:cs="Times New Roman" w:eastAsia="Times New Roman"/>
          <w:color w:val="auto"/>
          <w:spacing w:val="0"/>
          <w:position w:val="0"/>
          <w:sz w:val="23"/>
          <w:shd w:fill="auto" w:val="clear"/>
        </w:rPr>
      </w:pPr>
    </w:p>
    <w:p>
      <w:pPr>
        <w:numPr>
          <w:ilvl w:val="0"/>
          <w:numId w:val="473"/>
        </w:numPr>
        <w:tabs>
          <w:tab w:val="left" w:pos="720" w:leader="none"/>
        </w:tabs>
        <w:spacing w:before="0" w:after="0" w:line="240"/>
        <w:ind w:right="0" w:left="720" w:hanging="360"/>
        <w:jc w:val="left"/>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4"/>
          <w:shd w:fill="auto" w:val="clear"/>
        </w:rPr>
        <w:t xml:space="preserve">Анализу стања (swot анализу);</w:t>
      </w:r>
    </w:p>
    <w:p>
      <w:pPr>
        <w:spacing w:before="0" w:after="0" w:line="240"/>
        <w:ind w:right="0" w:left="0" w:firstLine="0"/>
        <w:jc w:val="left"/>
        <w:rPr>
          <w:rFonts w:ascii="Times New Roman" w:hAnsi="Times New Roman" w:cs="Times New Roman" w:eastAsia="Times New Roman"/>
          <w:color w:val="auto"/>
          <w:spacing w:val="0"/>
          <w:position w:val="0"/>
          <w:sz w:val="23"/>
          <w:shd w:fill="auto" w:val="clear"/>
        </w:rPr>
      </w:pPr>
    </w:p>
    <w:p>
      <w:pPr>
        <w:numPr>
          <w:ilvl w:val="0"/>
          <w:numId w:val="475"/>
        </w:numPr>
        <w:tabs>
          <w:tab w:val="left" w:pos="720" w:leader="none"/>
        </w:tabs>
        <w:spacing w:before="0" w:after="0" w:line="240"/>
        <w:ind w:right="0" w:left="720" w:hanging="360"/>
        <w:jc w:val="left"/>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4"/>
          <w:shd w:fill="auto" w:val="clear"/>
        </w:rPr>
        <w:t xml:space="preserve">Анализу заинтересованих страна и</w:t>
      </w:r>
    </w:p>
    <w:p>
      <w:pPr>
        <w:spacing w:before="0" w:after="0" w:line="240"/>
        <w:ind w:right="0" w:left="0" w:firstLine="0"/>
        <w:jc w:val="left"/>
        <w:rPr>
          <w:rFonts w:ascii="Times New Roman" w:hAnsi="Times New Roman" w:cs="Times New Roman" w:eastAsia="Times New Roman"/>
          <w:color w:val="auto"/>
          <w:spacing w:val="0"/>
          <w:position w:val="0"/>
          <w:sz w:val="23"/>
          <w:shd w:fill="auto" w:val="clear"/>
        </w:rPr>
      </w:pPr>
    </w:p>
    <w:p>
      <w:pPr>
        <w:numPr>
          <w:ilvl w:val="0"/>
          <w:numId w:val="477"/>
        </w:numPr>
        <w:tabs>
          <w:tab w:val="left" w:pos="720" w:leader="none"/>
        </w:tabs>
        <w:spacing w:before="0" w:after="0" w:line="240"/>
        <w:ind w:right="0" w:left="720" w:hanging="358"/>
        <w:jc w:val="left"/>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4"/>
          <w:shd w:fill="auto" w:val="clear"/>
        </w:rPr>
        <w:t xml:space="preserve">Анализу проблема са закључцима.</w:t>
      </w:r>
    </w:p>
    <w:p>
      <w:pPr>
        <w:spacing w:before="0" w:after="0" w:line="288"/>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87"/>
        <w:ind w:right="0" w:left="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Анализа документације о ширем окружењу</w:t>
      </w:r>
      <w:r>
        <w:rPr>
          <w:rFonts w:ascii="Times New Roman" w:hAnsi="Times New Roman" w:cs="Times New Roman" w:eastAsia="Times New Roman"/>
          <w:color w:val="auto"/>
          <w:spacing w:val="0"/>
          <w:position w:val="0"/>
          <w:sz w:val="24"/>
          <w:shd w:fill="auto" w:val="clear"/>
        </w:rPr>
        <w:t xml:space="preserve"> обухватила је неколико кључних националних стратешких докумената релевантних за ову област, актуелни законски оквир који регулише питања избеглих лица у Републици Србији, стратешке документе општине Сента и реализоване и актуелне пројекте и програме намењене избеглим и ИРЛ у општини Сента. Национални стратешки документи од значаја за питања избеглих и интерно расељених лица су:</w:t>
      </w:r>
    </w:p>
    <w:p>
      <w:pPr>
        <w:numPr>
          <w:ilvl w:val="0"/>
          <w:numId w:val="480"/>
        </w:numPr>
        <w:spacing w:before="0" w:after="0" w:line="287"/>
        <w:ind w:right="0" w:left="7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Стратегија за управљање миграцијама;</w:t>
      </w:r>
    </w:p>
    <w:p>
      <w:pPr>
        <w:numPr>
          <w:ilvl w:val="0"/>
          <w:numId w:val="480"/>
        </w:numPr>
        <w:spacing w:before="0" w:after="0" w:line="287"/>
        <w:ind w:right="0" w:left="7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Стратегија развоја социјалне заштите;</w:t>
      </w:r>
    </w:p>
    <w:p>
      <w:pPr>
        <w:numPr>
          <w:ilvl w:val="0"/>
          <w:numId w:val="480"/>
        </w:numPr>
        <w:spacing w:before="0" w:after="0" w:line="287"/>
        <w:ind w:right="0" w:left="7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Национална стратегија социјалног становања;</w:t>
      </w:r>
    </w:p>
    <w:p>
      <w:pPr>
        <w:numPr>
          <w:ilvl w:val="0"/>
          <w:numId w:val="480"/>
        </w:numPr>
        <w:spacing w:before="0" w:after="0" w:line="287"/>
        <w:ind w:right="0" w:left="7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Стратегија за смањење сиромаштва;</w:t>
      </w:r>
    </w:p>
    <w:p>
      <w:pPr>
        <w:numPr>
          <w:ilvl w:val="0"/>
          <w:numId w:val="480"/>
        </w:numPr>
        <w:spacing w:before="0" w:after="0" w:line="287"/>
        <w:ind w:right="0" w:left="7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Национална стратегија за побољшање положаја жена;</w:t>
      </w:r>
    </w:p>
    <w:p>
      <w:pPr>
        <w:numPr>
          <w:ilvl w:val="0"/>
          <w:numId w:val="480"/>
        </w:numPr>
        <w:spacing w:before="0" w:after="0" w:line="287"/>
        <w:ind w:right="0" w:left="7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Национална стратегија одрживог развоја;</w:t>
      </w:r>
    </w:p>
    <w:p>
      <w:pPr>
        <w:numPr>
          <w:ilvl w:val="0"/>
          <w:numId w:val="480"/>
        </w:numPr>
        <w:spacing w:before="0" w:after="0" w:line="287"/>
        <w:ind w:right="0" w:left="7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Национални план акције за децу и</w:t>
      </w:r>
    </w:p>
    <w:p>
      <w:pPr>
        <w:numPr>
          <w:ilvl w:val="0"/>
          <w:numId w:val="480"/>
        </w:numPr>
        <w:spacing w:before="0" w:after="0" w:line="287"/>
        <w:ind w:right="0" w:left="7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Стратегија пољопривреде и руралног развоја.</w:t>
      </w:r>
    </w:p>
    <w:p>
      <w:pPr>
        <w:spacing w:before="0" w:after="0" w:line="282"/>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2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Најважнији закључци Анализе документације</w:t>
      </w:r>
    </w:p>
    <w:p>
      <w:pPr>
        <w:spacing w:before="0" w:after="0" w:line="253"/>
        <w:ind w:right="20" w:left="0" w:firstLine="0"/>
        <w:jc w:val="both"/>
        <w:rPr>
          <w:rFonts w:ascii="Times New Roman" w:hAnsi="Times New Roman" w:cs="Times New Roman" w:eastAsia="Times New Roman"/>
          <w:color w:val="auto"/>
          <w:spacing w:val="0"/>
          <w:position w:val="0"/>
          <w:sz w:val="24"/>
          <w:shd w:fill="auto" w:val="clear"/>
        </w:rPr>
      </w:pPr>
    </w:p>
    <w:p>
      <w:pPr>
        <w:spacing w:before="0" w:after="0" w:line="253"/>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Национална стратегија за управљање миграцијама дефинише планско и организовано управљање миграцијама праћењем спољних и унутрашњих миграционих кретања и спровођење активности које ће довести до подстицања регуларних и сузбијања нерегуларних миграција, као и решавање проблема избеглица и интерно расељених лица, ефикасни и ефективни прихват и одржива социо-економска реинтеграција повратника – грађана Републике Србије по основу Споразума о реадмисији.</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83"/>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Национална стратегија реинтеграције повратника по Споразуму о реадмисији утврђује приоритетне области, као што су: издавање личних докумената, решавање питања смештаја, стварање могућности за запошљавање и остваривање других права, као што су право на здравствену заштиту, образовање, социјалну и породично-правну заштиту, итд. Одсуство координације и размене информација о повратницима представља озбиљну сметњу у регистрацији лица која се враћају по основу реадмисије, утврђивању њихових потреба и пружању адекватне заштите ради њиховог укључивања у нову средину.</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Остале горе наведене националне стратегије пружају основу и дају смернице за развијање мера</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489"/>
        </w:numPr>
        <w:tabs>
          <w:tab w:val="left" w:pos="218" w:leader="none"/>
        </w:tabs>
        <w:spacing w:before="0" w:after="0" w:line="246"/>
        <w:ind w:right="0" w:left="0" w:firstLine="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акција у области локалне интеграције избеглих и интерно расељених лица којима се може допринети унапређењу њиховог животног стандарда и укупног друштвеног положаја.</w:t>
      </w:r>
    </w:p>
    <w:p>
      <w:pPr>
        <w:spacing w:before="0" w:after="0" w:line="240"/>
        <w:ind w:right="-279"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279"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52"/>
        <w:ind w:right="0" w:left="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Програми и пројекти за избегла и интерно расељена лица који су до сада реализовани, као и они који су у току, бавили су се решавањем следећих питања: становање (откуп сеоских домаћинстава и пакети грађевинског материјала), помоћ набавком хуманитарних пакета хране, и огрева.</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21"/>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2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Анализа стања (SWOT aнализа)</w:t>
      </w:r>
    </w:p>
    <w:p>
      <w:pPr>
        <w:spacing w:before="0" w:after="0" w:line="281"/>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Анализа стања у локалној заједници по питањима унапређења положаја избеглих, интерно расељених лица и повратника извршена је кроз идентификовање досадашњих активности и резултата у овом домену и сагледавање позитивних капацитета и слабости локалне заједнице, као и могућности и препрека са којима се суочава у свом радном окружењу. Анализа је урађена коришћењем SWOT технике.</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tbl>
      <w:tblPr/>
      <w:tblGrid>
        <w:gridCol w:w="431"/>
        <w:gridCol w:w="4819"/>
        <w:gridCol w:w="4580"/>
      </w:tblGrid>
      <w:tr>
        <w:trPr>
          <w:trHeight w:val="1134" w:hRule="auto"/>
          <w:jc w:val="left"/>
          <w:cantSplit w:val="1"/>
        </w:trPr>
        <w:tc>
          <w:tcPr>
            <w:tcW w:w="43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113" w:left="113"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Унутрашње</w:t>
            </w:r>
          </w:p>
        </w:tc>
        <w:tc>
          <w:tcPr>
            <w:tcW w:w="4819"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Снаге</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numPr>
                <w:ilvl w:val="0"/>
                <w:numId w:val="502"/>
              </w:numPr>
              <w:spacing w:before="0" w:after="0" w:line="240"/>
              <w:ind w:right="172" w:left="284" w:hanging="142"/>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Подршка локалне самоуправе (председник општине, општинско веће, начелник општинске управе);</w:t>
            </w:r>
          </w:p>
          <w:p>
            <w:pPr>
              <w:numPr>
                <w:ilvl w:val="0"/>
                <w:numId w:val="502"/>
              </w:numPr>
              <w:spacing w:before="0" w:after="0" w:line="240"/>
              <w:ind w:right="172" w:left="284" w:hanging="142"/>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постојање локалних стратешких докумената;</w:t>
            </w:r>
          </w:p>
          <w:p>
            <w:pPr>
              <w:numPr>
                <w:ilvl w:val="0"/>
                <w:numId w:val="502"/>
              </w:numPr>
              <w:spacing w:before="0" w:after="0" w:line="240"/>
              <w:ind w:right="172" w:left="284" w:hanging="142"/>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развијеност инфраструктуре;</w:t>
            </w:r>
          </w:p>
          <w:p>
            <w:pPr>
              <w:numPr>
                <w:ilvl w:val="0"/>
                <w:numId w:val="502"/>
              </w:numPr>
              <w:spacing w:before="0" w:after="0" w:line="240"/>
              <w:ind w:right="172" w:left="284" w:hanging="142"/>
              <w:jc w:val="both"/>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недавно спроведена анкета о потребама избеглица и ИРЛ.</w:t>
            </w:r>
          </w:p>
        </w:tc>
        <w:tc>
          <w:tcPr>
            <w:tcW w:w="458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Слабости</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numPr>
                <w:ilvl w:val="0"/>
                <w:numId w:val="504"/>
              </w:numPr>
              <w:spacing w:before="0" w:after="0" w:line="240"/>
              <w:ind w:right="186" w:left="253" w:hanging="141"/>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Ограничена средства у буџету ЈЛС;</w:t>
            </w:r>
          </w:p>
          <w:p>
            <w:pPr>
              <w:numPr>
                <w:ilvl w:val="0"/>
                <w:numId w:val="504"/>
              </w:numPr>
              <w:spacing w:before="0" w:after="0" w:line="240"/>
              <w:ind w:right="186" w:left="253" w:hanging="141"/>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елементарно сиромаштво становништва у порасту;</w:t>
            </w:r>
          </w:p>
          <w:p>
            <w:pPr>
              <w:numPr>
                <w:ilvl w:val="0"/>
                <w:numId w:val="504"/>
              </w:numPr>
              <w:spacing w:before="0" w:after="0" w:line="240"/>
              <w:ind w:right="186" w:left="253" w:hanging="141"/>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депопулација и старење становништва;</w:t>
            </w:r>
          </w:p>
          <w:p>
            <w:pPr>
              <w:numPr>
                <w:ilvl w:val="0"/>
                <w:numId w:val="504"/>
              </w:numPr>
              <w:spacing w:before="0" w:after="0" w:line="240"/>
              <w:ind w:right="186" w:left="253" w:hanging="141"/>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недовољна информисаност шире локалне заједнице о проблемима избеглица и ИРЛ;</w:t>
            </w:r>
          </w:p>
          <w:p>
            <w:pPr>
              <w:numPr>
                <w:ilvl w:val="0"/>
                <w:numId w:val="504"/>
              </w:numPr>
              <w:spacing w:before="0" w:after="0" w:line="240"/>
              <w:ind w:right="186" w:left="253" w:hanging="141"/>
              <w:jc w:val="both"/>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непостојање базе података о броју и потребама повратника.</w:t>
            </w:r>
          </w:p>
        </w:tc>
      </w:tr>
      <w:tr>
        <w:trPr>
          <w:trHeight w:val="1134" w:hRule="auto"/>
          <w:jc w:val="left"/>
          <w:cantSplit w:val="1"/>
        </w:trPr>
        <w:tc>
          <w:tcPr>
            <w:tcW w:w="43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113" w:left="113"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Спољашње</w:t>
            </w:r>
          </w:p>
        </w:tc>
        <w:tc>
          <w:tcPr>
            <w:tcW w:w="4819"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Могућности</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numPr>
                <w:ilvl w:val="0"/>
                <w:numId w:val="509"/>
              </w:numPr>
              <w:spacing w:before="0" w:after="0" w:line="240"/>
              <w:ind w:right="142" w:left="284" w:hanging="14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постојање политичког консензуса за решавање проблема избеглица и ИРЛ на националном нивоу;</w:t>
            </w:r>
          </w:p>
          <w:p>
            <w:pPr>
              <w:numPr>
                <w:ilvl w:val="0"/>
                <w:numId w:val="509"/>
              </w:numPr>
              <w:spacing w:before="0" w:after="0" w:line="240"/>
              <w:ind w:right="142" w:left="284" w:hanging="14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постојање националне стратегије за решавање проблема избеглица;</w:t>
            </w:r>
          </w:p>
          <w:p>
            <w:pPr>
              <w:numPr>
                <w:ilvl w:val="0"/>
                <w:numId w:val="509"/>
              </w:numPr>
              <w:spacing w:before="0" w:after="0" w:line="240"/>
              <w:ind w:right="142" w:left="284" w:hanging="14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постојање регионалног програма за трајно решавање стамбених проблема избеглих и расељених лица;</w:t>
            </w:r>
          </w:p>
          <w:p>
            <w:pPr>
              <w:numPr>
                <w:ilvl w:val="0"/>
                <w:numId w:val="509"/>
              </w:numPr>
              <w:spacing w:before="0" w:after="0" w:line="240"/>
              <w:ind w:right="142" w:left="284" w:hanging="14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активности и програми КИРС-а;</w:t>
            </w:r>
          </w:p>
          <w:p>
            <w:pPr>
              <w:numPr>
                <w:ilvl w:val="0"/>
                <w:numId w:val="509"/>
              </w:numPr>
              <w:spacing w:before="0" w:after="0" w:line="240"/>
              <w:ind w:right="142" w:left="284" w:hanging="14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доступност ИПА фондова;</w:t>
            </w:r>
          </w:p>
          <w:p>
            <w:pPr>
              <w:numPr>
                <w:ilvl w:val="0"/>
                <w:numId w:val="509"/>
              </w:numPr>
              <w:spacing w:before="0" w:after="0" w:line="240"/>
              <w:ind w:right="142" w:left="284" w:hanging="14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реформе у социјалној заштити, образовању и запошљавању;</w:t>
            </w:r>
          </w:p>
          <w:p>
            <w:pPr>
              <w:numPr>
                <w:ilvl w:val="0"/>
                <w:numId w:val="509"/>
              </w:numPr>
              <w:spacing w:before="0" w:after="0" w:line="240"/>
              <w:ind w:right="142" w:left="284" w:hanging="142"/>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постојање програма НСЗ-а.</w:t>
            </w:r>
          </w:p>
        </w:tc>
        <w:tc>
          <w:tcPr>
            <w:tcW w:w="458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Препреке</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numPr>
                <w:ilvl w:val="0"/>
                <w:numId w:val="511"/>
              </w:numPr>
              <w:spacing w:before="0" w:after="0" w:line="240"/>
              <w:ind w:right="0" w:left="253" w:hanging="141"/>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лоша глобална економска ситуација;</w:t>
            </w:r>
          </w:p>
          <w:p>
            <w:pPr>
              <w:numPr>
                <w:ilvl w:val="0"/>
                <w:numId w:val="511"/>
              </w:numPr>
              <w:spacing w:before="0" w:after="0" w:line="240"/>
              <w:ind w:right="0" w:left="253" w:hanging="141"/>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спора имплементација националних стратегија и планова;</w:t>
            </w:r>
          </w:p>
          <w:p>
            <w:pPr>
              <w:numPr>
                <w:ilvl w:val="0"/>
                <w:numId w:val="511"/>
              </w:numPr>
              <w:spacing w:before="0" w:after="0" w:line="240"/>
              <w:ind w:right="0" w:left="253" w:hanging="141"/>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недовољно ангажовање надлежних институција на решавању имовинско-правних питања избеглица у земљама порекла;</w:t>
            </w:r>
          </w:p>
          <w:p>
            <w:pPr>
              <w:numPr>
                <w:ilvl w:val="0"/>
                <w:numId w:val="511"/>
              </w:numPr>
              <w:spacing w:before="0" w:after="0" w:line="240"/>
              <w:ind w:right="0" w:left="253" w:hanging="141"/>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питање избеглих и ИР лица није више у фокусу шире јавности.</w:t>
            </w:r>
          </w:p>
        </w:tc>
      </w:tr>
    </w:tbl>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48"/>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96"/>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279"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279"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0" w:left="12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Најважнији закључци SWOT анализе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1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Локална заједница има значајне капацитете за решавање питања избеглих, интерно расељених лица и повратника. Главне снаге локалне заједнице релевантне за питања ове популације су: политичка воља и подршка општинске структуре власти, стратешки приступ развоју општине Сента у различитим областима.</w:t>
      </w:r>
    </w:p>
    <w:p>
      <w:pPr>
        <w:spacing w:before="0" w:after="0" w:line="384"/>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2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Анализа заинтересованих страна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84"/>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Анализом заинтересованих страна идентификоване су кључне заинтересоване стране за решавање питања избеглих, интерно расељених лица и повратника у општини Сента које су диференциране на крајње кориснике услуга (различите групе избеглих и интерно расељених лица и повратника) и кључне партнере локалној самоуправи у развијању и примени мера и програма.</w:t>
      </w:r>
    </w:p>
    <w:p>
      <w:pPr>
        <w:spacing w:before="0" w:after="0" w:line="261"/>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90"/>
        <w:ind w:right="0" w:left="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Крајњи корисници Локалног акционог плана за решавање питања избеглих, интерно расељених лица и повратника немају решено стамбено питање или живе у неусловном смештају, сопственом смештају који је неуслован па је неопходна адаптација.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93"/>
        <w:ind w:right="0" w:left="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Кључни партнери у општини Сента за решавање питања избеглих, интерно расељених лица и повратника су:</w:t>
      </w:r>
    </w:p>
    <w:p>
      <w:pPr>
        <w:numPr>
          <w:ilvl w:val="0"/>
          <w:numId w:val="530"/>
        </w:numPr>
        <w:spacing w:before="0" w:after="0" w:line="240"/>
        <w:ind w:right="0" w:left="284" w:hanging="284"/>
        <w:jc w:val="both"/>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4"/>
          <w:shd w:fill="auto" w:val="clear"/>
        </w:rPr>
        <w:t xml:space="preserve">Локална самоуправа – обезбеђује општи оквир кроз доношење стратешких докумената и одлуке о буџету;</w:t>
      </w:r>
    </w:p>
    <w:p>
      <w:pPr>
        <w:numPr>
          <w:ilvl w:val="0"/>
          <w:numId w:val="530"/>
        </w:numPr>
        <w:spacing w:before="0" w:after="0" w:line="240"/>
        <w:ind w:right="0" w:left="284" w:hanging="284"/>
        <w:jc w:val="both"/>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4"/>
          <w:shd w:fill="auto" w:val="clear"/>
        </w:rPr>
        <w:t xml:space="preserve">Повереништво за избеглице - врши поверене послове у оквиру своје основне делатности и координацију различитих програма усмерених на помоћ избеглим, ИРЛ и повратницима;</w:t>
      </w:r>
    </w:p>
    <w:p>
      <w:pPr>
        <w:numPr>
          <w:ilvl w:val="0"/>
          <w:numId w:val="530"/>
        </w:numPr>
        <w:spacing w:before="0" w:after="0" w:line="240"/>
        <w:ind w:right="0" w:left="284" w:hanging="284"/>
        <w:jc w:val="both"/>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4"/>
          <w:shd w:fill="auto" w:val="clear"/>
        </w:rPr>
        <w:t xml:space="preserve">Центар за социјални рад општине Сента у оквиру својих надлежности прописаних Законом и у оквиру Одлуке о правима из области социјалне заштите пружа услуге из области социјалне заштите (то су услуге које се пружају лицима која имају држављанство Републике Србије, али будући да је већина избеглих лица добила држављанство Републике Србије, сарадња са Центром је изузетно битна)</w:t>
      </w:r>
    </w:p>
    <w:p>
      <w:pPr>
        <w:numPr>
          <w:ilvl w:val="0"/>
          <w:numId w:val="530"/>
        </w:numPr>
        <w:spacing w:before="0" w:after="0" w:line="240"/>
        <w:ind w:right="0" w:left="284" w:hanging="284"/>
        <w:jc w:val="both"/>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4"/>
          <w:shd w:fill="auto" w:val="clear"/>
        </w:rPr>
        <w:t xml:space="preserve">Црвени крст – који је кроз своју основну делатност пружао разне врсте помоћи избегличкој популацији;</w:t>
      </w:r>
    </w:p>
    <w:p>
      <w:pPr>
        <w:numPr>
          <w:ilvl w:val="0"/>
          <w:numId w:val="530"/>
        </w:numPr>
        <w:spacing w:before="0" w:after="0" w:line="240"/>
        <w:ind w:right="0" w:left="284" w:hanging="284"/>
        <w:jc w:val="both"/>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4"/>
          <w:shd w:fill="auto" w:val="clear"/>
        </w:rPr>
        <w:t xml:space="preserve">Дом здравља Сента – који кроз обављање своје основне делатности доприноси побољшању здравља становништва уопште, па тиме и избегличке популације;</w:t>
      </w:r>
    </w:p>
    <w:p>
      <w:pPr>
        <w:numPr>
          <w:ilvl w:val="0"/>
          <w:numId w:val="530"/>
        </w:numPr>
        <w:spacing w:before="0" w:after="0" w:line="240"/>
        <w:ind w:right="0" w:left="284" w:hanging="284"/>
        <w:jc w:val="both"/>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4"/>
          <w:shd w:fill="auto" w:val="clear"/>
        </w:rPr>
        <w:t xml:space="preserve">Образовне институције (предшколске установе, основне и средње школе) које укључују у образовни систем избегла и ИРЛ под једнаким условима;</w:t>
      </w:r>
    </w:p>
    <w:p>
      <w:pPr>
        <w:numPr>
          <w:ilvl w:val="0"/>
          <w:numId w:val="530"/>
        </w:numPr>
        <w:spacing w:before="0" w:after="0" w:line="240"/>
        <w:ind w:right="0" w:left="284" w:hanging="284"/>
        <w:jc w:val="both"/>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4"/>
          <w:shd w:fill="auto" w:val="clear"/>
        </w:rPr>
        <w:t xml:space="preserve">Комесаријат за избеглице и миграције Републике Србије – обавља координацију различитих програма за избегле и интерно расељене;</w:t>
      </w:r>
    </w:p>
    <w:p>
      <w:pPr>
        <w:numPr>
          <w:ilvl w:val="0"/>
          <w:numId w:val="530"/>
        </w:numPr>
        <w:spacing w:before="0" w:after="0" w:line="240"/>
        <w:ind w:right="0" w:left="284" w:hanging="284"/>
        <w:jc w:val="both"/>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4"/>
          <w:shd w:fill="auto" w:val="clear"/>
        </w:rPr>
        <w:t xml:space="preserve">Покрајински фонд за пружање помоћи избеглим, прогнаним и интерно расељеним лицима спроводи различите програме помоћи намењене избегличој и расељеничкој популацији.</w:t>
      </w:r>
    </w:p>
    <w:p>
      <w:pPr>
        <w:spacing w:before="0" w:after="0" w:line="372"/>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2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Анализа проблема</w:t>
      </w:r>
    </w:p>
    <w:p>
      <w:pPr>
        <w:spacing w:before="0" w:after="0" w:line="387"/>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Анализа проблема је показала да су главни проблеми избеглих, интерно расељених лица и повратника у општини Сента:</w:t>
      </w:r>
    </w:p>
    <w:p>
      <w:pPr>
        <w:spacing w:before="0" w:after="0" w:line="264"/>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535"/>
        </w:numPr>
        <w:spacing w:before="0" w:after="0" w:line="264"/>
        <w:ind w:right="0" w:left="284"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Нерешено стамбено питање у РС, које додатно оптерећује статус имовине у земљи порекла (нарочито у Хрватској) који још увек није решен. Лица са подручја Босне и Херцеговине успела су да остваре своје станарско право и поврате имовину, али углавном је у питању приватна, која је махом уништена.  </w:t>
      </w:r>
    </w:p>
    <w:p>
      <w:pPr>
        <w:numPr>
          <w:ilvl w:val="0"/>
          <w:numId w:val="535"/>
        </w:numPr>
        <w:spacing w:before="0" w:after="0" w:line="264"/>
        <w:ind w:right="0" w:left="284"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Лица са подручја Хрватске нису успела да поврате своје станарско право, а приватна имовина је углавном уништена или са великим степеном оштећења.</w:t>
      </w:r>
    </w:p>
    <w:p>
      <w:pPr>
        <w:numPr>
          <w:ilvl w:val="0"/>
          <w:numId w:val="535"/>
        </w:numPr>
        <w:spacing w:before="0" w:after="0" w:line="264"/>
        <w:ind w:right="0" w:left="284"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Незапосленост и материјално сиромаштво.</w:t>
      </w:r>
    </w:p>
    <w:p>
      <w:pPr>
        <w:spacing w:before="0" w:after="0" w:line="29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Општи закључци анализе</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numPr>
          <w:ilvl w:val="0"/>
          <w:numId w:val="538"/>
        </w:numPr>
        <w:spacing w:before="0" w:after="0" w:line="240"/>
        <w:ind w:right="0" w:left="284" w:hanging="284"/>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Локална заједница и локална самоуправа располаже капацитетима за бављење унапређењем положаја избеглих, интерно расељених лица и повратника, као што су људски ресурси и стратешки приступ развоју општине Сента.</w:t>
      </w:r>
    </w:p>
    <w:p>
      <w:pPr>
        <w:numPr>
          <w:ilvl w:val="0"/>
          <w:numId w:val="538"/>
        </w:numPr>
        <w:spacing w:before="0" w:after="0" w:line="240"/>
        <w:ind w:right="0" w:left="284" w:hanging="284"/>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 процесу израде Локалног плана неопходно је узети у обзир, с једне стране, реално постојеће локалне ресурсе и чињеницу да су избегла, интерно расељена лица и повратници једна од бројних друштвено рањивих група, а с друге стране, уважити оне њихове потребе и проблеме који су специфични резултат избеглиштва и расељеништва.</w:t>
      </w:r>
    </w:p>
    <w:p>
      <w:pPr>
        <w:numPr>
          <w:ilvl w:val="0"/>
          <w:numId w:val="538"/>
        </w:numPr>
        <w:spacing w:before="0" w:after="0" w:line="240"/>
        <w:ind w:right="0" w:left="284" w:hanging="284"/>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Имајући у виду лошу демографску ситуацију, смањење броја становништва и општу депопулацију, овај план представља активности које су усмерене на поправљању овакве неповољне ситуације, активностима које су усмерене на стамбена решења, нарочито откуп домаћинстава с окућницом, доделу пакета грађевинског материја за адаптацију неусловних стамбених објеката и економско оснаживање.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69"/>
        <w:ind w:right="0" w:left="0" w:firstLine="0"/>
        <w:jc w:val="left"/>
        <w:rPr>
          <w:rFonts w:ascii="Times New Roman" w:hAnsi="Times New Roman" w:cs="Times New Roman" w:eastAsia="Times New Roman"/>
          <w:color w:val="auto"/>
          <w:spacing w:val="0"/>
          <w:position w:val="0"/>
          <w:sz w:val="24"/>
          <w:shd w:fill="auto" w:val="clear"/>
        </w:rPr>
      </w:pPr>
    </w:p>
    <w:p>
      <w:pPr>
        <w:tabs>
          <w:tab w:val="left" w:pos="3320" w:leader="none"/>
        </w:tabs>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 </w:t>
      </w:r>
      <w:r>
        <w:rPr>
          <w:rFonts w:ascii="Times New Roman" w:hAnsi="Times New Roman" w:cs="Times New Roman" w:eastAsia="Times New Roman"/>
          <w:b/>
          <w:color w:val="auto"/>
          <w:spacing w:val="0"/>
          <w:position w:val="0"/>
          <w:sz w:val="28"/>
          <w:shd w:fill="auto" w:val="clear"/>
        </w:rPr>
        <w:t xml:space="preserve">ПРИОРИТЕТНЕ ЦИЉНЕ ГРУПЕ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Крајњи корисници ЛАП-а за решавање питања избеглих, ИРЛ и повратника на територији општине Сента у периоду од 2024-2028 су материјално и социјално најугроженије породице избеглих, ИРЛ и повратника, а пре свега: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544"/>
        </w:numPr>
        <w:spacing w:before="0" w:after="0" w:line="240"/>
        <w:ind w:right="0" w:left="284"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Избегла, интерно расељена лица и повратници који немају трајно решено стамбено питање, укључујући и оне који станују у неусловним стамбеним објектима;</w:t>
      </w:r>
    </w:p>
    <w:p>
      <w:pPr>
        <w:numPr>
          <w:ilvl w:val="0"/>
          <w:numId w:val="544"/>
        </w:numPr>
        <w:spacing w:before="0" w:after="0" w:line="240"/>
        <w:ind w:right="0" w:left="284"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Вишечлане и вишегенрацијске породице.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1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Критеријуми за избор приоритетних група у оквиру Локалног плана за решавање питања избеглих и интерно расељених лица у општини Сента су следећи:</w:t>
      </w:r>
    </w:p>
    <w:p>
      <w:pPr>
        <w:spacing w:before="0" w:after="0" w:line="240"/>
        <w:ind w:right="140" w:left="0" w:firstLine="0"/>
        <w:jc w:val="both"/>
        <w:rPr>
          <w:rFonts w:ascii="Times New Roman" w:hAnsi="Times New Roman" w:cs="Times New Roman" w:eastAsia="Times New Roman"/>
          <w:color w:val="auto"/>
          <w:spacing w:val="0"/>
          <w:position w:val="0"/>
          <w:sz w:val="24"/>
          <w:shd w:fill="auto" w:val="clear"/>
        </w:rPr>
      </w:pPr>
    </w:p>
    <w:p>
      <w:pPr>
        <w:numPr>
          <w:ilvl w:val="0"/>
          <w:numId w:val="547"/>
        </w:numPr>
        <w:tabs>
          <w:tab w:val="left" w:pos="284" w:leader="none"/>
        </w:tabs>
        <w:spacing w:before="0" w:after="0" w:line="240"/>
        <w:ind w:right="0" w:left="720" w:hanging="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Егзистецијална и стамбена угроженост циљне групе;</w:t>
      </w:r>
    </w:p>
    <w:p>
      <w:pPr>
        <w:numPr>
          <w:ilvl w:val="0"/>
          <w:numId w:val="547"/>
        </w:numPr>
        <w:tabs>
          <w:tab w:val="left" w:pos="284" w:leader="none"/>
        </w:tabs>
        <w:spacing w:before="0" w:after="0" w:line="240"/>
        <w:ind w:right="0" w:left="720" w:hanging="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Бројност циљне групе погођене одређеним проблемом;</w:t>
      </w:r>
    </w:p>
    <w:p>
      <w:pPr>
        <w:numPr>
          <w:ilvl w:val="0"/>
          <w:numId w:val="547"/>
        </w:numPr>
        <w:tabs>
          <w:tab w:val="left" w:pos="284" w:leader="none"/>
        </w:tabs>
        <w:spacing w:before="0" w:after="0" w:line="240"/>
        <w:ind w:right="0" w:left="720" w:hanging="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Хитност решавања проблема.</w:t>
      </w:r>
    </w:p>
    <w:p>
      <w:pPr>
        <w:tabs>
          <w:tab w:val="left" w:pos="72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Приликом реализације активности из овог документа, биће утврђени правилници и јавни позиви у којима ће бити детаљно разрађени критеријуми за сваку циљну групу, а на основу специфичности конкретних јавних позива.</w:t>
      </w:r>
    </w:p>
    <w:p>
      <w:pPr>
        <w:spacing w:before="0" w:after="0" w:line="240"/>
        <w:ind w:right="0" w:left="2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Економске  миграције</w:t>
      </w:r>
    </w:p>
    <w:p>
      <w:pPr>
        <w:spacing w:before="0" w:after="0" w:line="240"/>
        <w:ind w:right="0" w:left="2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Велика је миграција, нарочито младих лица, у земље ЕУ,САД и Канаду, са територије општине Сента исто тако и у веће административне центре као што су Нови Сад и Београд</w:t>
      </w:r>
      <w:r>
        <w:rPr>
          <w:rFonts w:ascii="Times New Roman" w:hAnsi="Times New Roman" w:cs="Times New Roman" w:eastAsia="Times New Roman"/>
          <w:color w:val="000000"/>
          <w:spacing w:val="0"/>
          <w:position w:val="0"/>
          <w:sz w:val="24"/>
          <w:shd w:fill="auto" w:val="clear"/>
        </w:rPr>
        <w:t xml:space="preserve">. Општина не располаже са званичним подацима о броју лица у дијаспори, нити одржава званичне контакте са тим лицима или организацијама у иностранству.</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Трговина људима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Не постоје тренутни подаци нити откривени случајеви трговине људима. Општина преузима све проактивне мере предострожности и има сталну комуникацију са МУП-ом, а посебно са управом Граничне полиције. Поред тога је и у сталном контакту и са Центром за социјални рад.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279"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279" w:left="0" w:firstLine="0"/>
        <w:jc w:val="center"/>
        <w:rPr>
          <w:rFonts w:ascii="Times New Roman" w:hAnsi="Times New Roman" w:cs="Times New Roman" w:eastAsia="Times New Roman"/>
          <w:color w:val="auto"/>
          <w:spacing w:val="0"/>
          <w:position w:val="0"/>
          <w:sz w:val="22"/>
          <w:shd w:fill="auto" w:val="clear"/>
        </w:rPr>
      </w:pPr>
    </w:p>
    <w:p>
      <w:pPr>
        <w:tabs>
          <w:tab w:val="left" w:pos="2440" w:leader="none"/>
        </w:tabs>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5. </w:t>
      </w:r>
      <w:r>
        <w:rPr>
          <w:rFonts w:ascii="Times New Roman" w:hAnsi="Times New Roman" w:cs="Times New Roman" w:eastAsia="Times New Roman"/>
          <w:b/>
          <w:color w:val="auto"/>
          <w:spacing w:val="0"/>
          <w:position w:val="0"/>
          <w:sz w:val="28"/>
          <w:shd w:fill="auto" w:val="clear"/>
        </w:rPr>
        <w:t xml:space="preserve">ОПШТИ И СПЕЦИФИЧНИ ЦИЉЕВИ</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Полазећи од анализе стања, локалних ресурса и капацитета, као и од анализе потреба избеглих, интерно расељених лица и повратника, а у складу са националним стратешким опредељењима, дефинисан је следећи општи циљ:</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2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Општи циљ ЛАП-а: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9781" w:leader="none"/>
        </w:tabs>
        <w:spacing w:before="0" w:after="0" w:line="240"/>
        <w:ind w:right="48" w:left="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Побољшање социјалног положаја избеглих, интерно расељених лица и повратника у општини Сента кроз програме стамбеног збрињавања</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куповином кућа са окућницом и доделом пакета грађевинског материјала за адаптацију постојећих неусловних објеката, као и програмима за економско оснаживање.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39"/>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3"/>
          <w:shd w:fill="auto" w:val="clear"/>
        </w:rPr>
      </w:pPr>
      <w:r>
        <w:rPr>
          <w:rFonts w:ascii="Times New Roman" w:hAnsi="Times New Roman" w:cs="Times New Roman" w:eastAsia="Times New Roman"/>
          <w:b/>
          <w:color w:val="auto"/>
          <w:spacing w:val="0"/>
          <w:position w:val="0"/>
          <w:sz w:val="23"/>
          <w:shd w:fill="auto" w:val="clear"/>
        </w:rPr>
        <w:t xml:space="preserve">Специфични циљеви ЛАП-а:</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auto"/>
          <w:spacing w:val="0"/>
          <w:position w:val="0"/>
          <w:sz w:val="23"/>
          <w:shd w:fill="auto" w:val="clear"/>
        </w:rPr>
      </w:pPr>
      <w:r>
        <w:rPr>
          <w:rFonts w:ascii="Times New Roman" w:hAnsi="Times New Roman" w:cs="Times New Roman" w:eastAsia="Times New Roman"/>
          <w:i/>
          <w:color w:val="auto"/>
          <w:spacing w:val="0"/>
          <w:position w:val="0"/>
          <w:sz w:val="23"/>
          <w:shd w:fill="auto" w:val="clear"/>
        </w:rPr>
        <w:t xml:space="preserve">Специфични циљ 1</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403" w:leader="none"/>
        </w:tabs>
        <w:spacing w:before="0" w:after="0" w:line="240"/>
        <w:ind w:right="0" w:left="0" w:firstLine="0"/>
        <w:jc w:val="both"/>
        <w:rPr>
          <w:rFonts w:ascii="Times New Roman" w:hAnsi="Times New Roman" w:cs="Times New Roman" w:eastAsia="Times New Roman"/>
          <w:color w:val="auto"/>
          <w:spacing w:val="0"/>
          <w:position w:val="0"/>
          <w:sz w:val="23"/>
          <w:shd w:fill="auto" w:val="clear"/>
        </w:rPr>
      </w:pPr>
    </w:p>
    <w:p>
      <w:pPr>
        <w:tabs>
          <w:tab w:val="left" w:pos="403" w:leader="none"/>
        </w:tabs>
        <w:spacing w:before="0" w:after="0" w:line="240"/>
        <w:ind w:right="0" w:left="0" w:firstLine="0"/>
        <w:jc w:val="both"/>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3"/>
          <w:shd w:fill="auto" w:val="clear"/>
        </w:rPr>
        <w:t xml:space="preserve">У периоду од 2024. до краја 2028. године, у циљу стамбеног</w:t>
      </w:r>
      <w:r>
        <w:rPr>
          <w:rFonts w:ascii="Times New Roman" w:hAnsi="Times New Roman" w:cs="Times New Roman" w:eastAsia="Times New Roman"/>
          <w:color w:val="auto"/>
          <w:spacing w:val="0"/>
          <w:position w:val="0"/>
          <w:sz w:val="22"/>
          <w:shd w:fill="auto" w:val="clear"/>
        </w:rPr>
        <w:t xml:space="preserve"> збрињавања избеглих, интерно расељених лица и повратника обезбедити откуп кућа са окућницом за најмање три породице избеглица.</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auto"/>
          <w:spacing w:val="0"/>
          <w:position w:val="0"/>
          <w:sz w:val="23"/>
          <w:shd w:fill="auto" w:val="clear"/>
        </w:rPr>
      </w:pPr>
      <w:r>
        <w:rPr>
          <w:rFonts w:ascii="Times New Roman" w:hAnsi="Times New Roman" w:cs="Times New Roman" w:eastAsia="Times New Roman"/>
          <w:i/>
          <w:color w:val="auto"/>
          <w:spacing w:val="0"/>
          <w:position w:val="0"/>
          <w:sz w:val="23"/>
          <w:shd w:fill="auto" w:val="clear"/>
        </w:rPr>
        <w:t xml:space="preserve">Специфични циљ 2</w:t>
      </w:r>
    </w:p>
    <w:p>
      <w:pPr>
        <w:spacing w:before="0" w:after="0" w:line="240"/>
        <w:ind w:right="0" w:left="0" w:firstLine="0"/>
        <w:jc w:val="left"/>
        <w:rPr>
          <w:rFonts w:ascii="Times New Roman" w:hAnsi="Times New Roman" w:cs="Times New Roman" w:eastAsia="Times New Roman"/>
          <w:i/>
          <w:color w:val="auto"/>
          <w:spacing w:val="0"/>
          <w:position w:val="0"/>
          <w:sz w:val="23"/>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461" w:leader="none"/>
          <w:tab w:val="left" w:pos="9781" w:leader="none"/>
        </w:tabs>
        <w:spacing w:before="0" w:after="0" w:line="240"/>
        <w:ind w:right="48" w:left="0" w:firstLine="0"/>
        <w:jc w:val="both"/>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3"/>
          <w:shd w:fill="auto" w:val="clear"/>
        </w:rPr>
        <w:t xml:space="preserve">У периоду од 2024. до краја 2028. године пружити подршку за најмање три породице избеглих, интерно расељених лица и повратника доделом пакета грађевинског материјала за адаптацију постојећих неусловних објеката</w:t>
      </w:r>
      <w:r>
        <w:rPr>
          <w:rFonts w:ascii="Arial" w:hAnsi="Arial" w:cs="Arial" w:eastAsia="Arial"/>
          <w:color w:val="auto"/>
          <w:spacing w:val="0"/>
          <w:position w:val="0"/>
          <w:sz w:val="23"/>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Специфични циљ 3</w:t>
      </w:r>
    </w:p>
    <w:p>
      <w:pPr>
        <w:spacing w:before="0" w:after="0" w:line="240"/>
        <w:ind w:right="0" w:left="0" w:firstLine="0"/>
        <w:jc w:val="left"/>
        <w:rPr>
          <w:rFonts w:ascii="Times New Roman" w:hAnsi="Times New Roman" w:cs="Times New Roman" w:eastAsia="Times New Roman"/>
          <w:i/>
          <w:color w:val="auto"/>
          <w:spacing w:val="0"/>
          <w:position w:val="0"/>
          <w:sz w:val="24"/>
          <w:shd w:fill="auto" w:val="clear"/>
        </w:rPr>
      </w:pPr>
    </w:p>
    <w:p>
      <w:pPr>
        <w:tabs>
          <w:tab w:val="left" w:pos="451" w:leader="none"/>
        </w:tabs>
        <w:spacing w:before="0" w:after="0" w:line="240"/>
        <w:ind w:right="48"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 периоду од 2024. до краја 2028. године пружити подршку за најмање три породице избеглих, интерно расељених лица и повратника за набавку и доделу робе и материјала за покретање, развој и унапређење доходовних активности у пољопривредној, занатској, услужној или другој области.</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87"/>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279"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279" w:left="0" w:firstLine="0"/>
        <w:jc w:val="center"/>
        <w:rPr>
          <w:rFonts w:ascii="Times New Roman" w:hAnsi="Times New Roman" w:cs="Times New Roman" w:eastAsia="Times New Roman"/>
          <w:color w:val="auto"/>
          <w:spacing w:val="0"/>
          <w:position w:val="0"/>
          <w:sz w:val="22"/>
          <w:shd w:fill="auto" w:val="clear"/>
        </w:rPr>
      </w:pPr>
    </w:p>
    <w:p>
      <w:pPr>
        <w:numPr>
          <w:ilvl w:val="0"/>
          <w:numId w:val="582"/>
        </w:numPr>
        <w:tabs>
          <w:tab w:val="left" w:pos="4100" w:leader="none"/>
        </w:tabs>
        <w:spacing w:before="0" w:after="0" w:line="240"/>
        <w:ind w:right="0" w:left="4100" w:hanging="282"/>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ПЛАН АКТИВНОСТИ</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10814" w:dyaOrig="13037">
          <v:rect xmlns:o="urn:schemas-microsoft-com:office:office" xmlns:v="urn:schemas-microsoft-com:vml" id="rectole0000000002" style="width:540.700000pt;height:651.8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53"/>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79" w:left="0" w:firstLine="0"/>
        <w:jc w:val="center"/>
        <w:rPr>
          <w:rFonts w:ascii="Times New Roman" w:hAnsi="Times New Roman" w:cs="Times New Roman" w:eastAsia="Times New Roman"/>
          <w:b/>
          <w:i/>
          <w:color w:val="auto"/>
          <w:spacing w:val="0"/>
          <w:position w:val="0"/>
          <w:sz w:val="18"/>
          <w:shd w:fill="auto" w:val="clear"/>
        </w:rPr>
      </w:pPr>
      <w:r>
        <w:rPr>
          <w:rFonts w:ascii="Times New Roman" w:hAnsi="Times New Roman" w:cs="Times New Roman" w:eastAsia="Times New Roman"/>
          <w:b/>
          <w:i/>
          <w:color w:val="auto"/>
          <w:spacing w:val="0"/>
          <w:position w:val="0"/>
          <w:sz w:val="18"/>
          <w:shd w:fill="auto" w:val="clear"/>
        </w:rPr>
        <w:t xml:space="preserve">Специфични циљ 1</w:t>
      </w:r>
    </w:p>
    <w:p>
      <w:pPr>
        <w:spacing w:before="0" w:after="0" w:line="240"/>
        <w:ind w:right="180" w:left="0" w:firstLine="0"/>
        <w:jc w:val="center"/>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У периоду од 2024. до краја 2028. године, у циљу стамбеног збрињавања избеглих, интерно расељених лица и</w:t>
      </w:r>
    </w:p>
    <w:p>
      <w:pPr>
        <w:spacing w:before="0" w:after="0" w:line="240"/>
        <w:ind w:right="160" w:left="0" w:firstLine="0"/>
        <w:jc w:val="center"/>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повратника обезбедити откуп кућа са окућницом за најмање три породице избеглица</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tbl>
      <w:tblPr/>
      <w:tblGrid>
        <w:gridCol w:w="1600"/>
        <w:gridCol w:w="1420"/>
        <w:gridCol w:w="1500"/>
        <w:gridCol w:w="1500"/>
        <w:gridCol w:w="1320"/>
        <w:gridCol w:w="880"/>
        <w:gridCol w:w="1740"/>
        <w:gridCol w:w="1320"/>
      </w:tblGrid>
      <w:tr>
        <w:trPr>
          <w:trHeight w:val="433"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200" w:type="dxa"/>
            <w:gridSpan w:val="2"/>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700" w:firstLine="0"/>
              <w:jc w:val="left"/>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Потребни</w:t>
            </w: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11"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200" w:type="dxa"/>
            <w:gridSpan w:val="2"/>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840" w:firstLine="0"/>
              <w:jc w:val="left"/>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ресурси</w:t>
            </w: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66"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260" w:firstLine="0"/>
              <w:jc w:val="left"/>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Планирано</w:t>
            </w: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2"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Буџет JЛС</w:t>
            </w: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71"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време</w:t>
            </w: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Очекивани</w:t>
            </w: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Носилац</w:t>
            </w: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Партнери у</w:t>
            </w:r>
          </w:p>
        </w:tc>
      </w:tr>
      <w:tr>
        <w:trPr>
          <w:trHeight w:val="207" w:hRule="auto"/>
          <w:jc w:val="left"/>
        </w:trPr>
        <w:tc>
          <w:tcPr>
            <w:tcW w:w="16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420" w:firstLine="0"/>
              <w:jc w:val="left"/>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Активности</w:t>
            </w:r>
          </w:p>
        </w:tc>
        <w:tc>
          <w:tcPr>
            <w:tcW w:w="14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реализације</w:t>
            </w: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3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Индикатори</w:t>
            </w:r>
          </w:p>
        </w:tc>
        <w:tc>
          <w:tcPr>
            <w:tcW w:w="13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w:t>
            </w:r>
            <w:r>
              <w:rPr>
                <w:rFonts w:ascii="Times New Roman" w:hAnsi="Times New Roman" w:cs="Times New Roman" w:eastAsia="Times New Roman"/>
                <w:b/>
                <w:color w:val="auto"/>
                <w:spacing w:val="0"/>
                <w:position w:val="0"/>
                <w:sz w:val="18"/>
                <w:shd w:fill="auto" w:val="clear"/>
              </w:rPr>
              <w:t xml:space="preserve">остали</w:t>
            </w:r>
          </w:p>
        </w:tc>
        <w:tc>
          <w:tcPr>
            <w:tcW w:w="88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Остали</w:t>
            </w:r>
          </w:p>
        </w:tc>
        <w:tc>
          <w:tcPr>
            <w:tcW w:w="17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активности</w:t>
            </w:r>
          </w:p>
        </w:tc>
        <w:tc>
          <w:tcPr>
            <w:tcW w:w="1320" w:type="dxa"/>
            <w:vMerge w:val="restart"/>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реализацији</w:t>
            </w:r>
          </w:p>
        </w:tc>
      </w:tr>
      <w:tr>
        <w:trPr>
          <w:trHeight w:val="85"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резултати</w:t>
            </w: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88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vMerge/>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122"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активности</w:t>
            </w: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локални</w:t>
            </w:r>
          </w:p>
        </w:tc>
        <w:tc>
          <w:tcPr>
            <w:tcW w:w="88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извори</w:t>
            </w: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4"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88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82"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ресурси</w:t>
            </w:r>
          </w:p>
        </w:tc>
        <w:tc>
          <w:tcPr>
            <w:tcW w:w="88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54"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43" w:hRule="auto"/>
          <w:jc w:val="left"/>
        </w:trPr>
        <w:tc>
          <w:tcPr>
            <w:tcW w:w="16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49"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1.1.</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09"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Обезбеђивање</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Обезбеђена</w:t>
            </w: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Износ</w:t>
            </w: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25" w:hRule="auto"/>
          <w:jc w:val="left"/>
        </w:trPr>
        <w:tc>
          <w:tcPr>
            <w:tcW w:w="16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финансијских</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86"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потребна</w:t>
            </w: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обезбеђених</w:t>
            </w: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22" w:hRule="auto"/>
          <w:jc w:val="left"/>
        </w:trPr>
        <w:tc>
          <w:tcPr>
            <w:tcW w:w="16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средстава за</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Људски</w:t>
            </w: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3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Локална</w:t>
            </w: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03"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финансијска</w:t>
            </w: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финансијских</w:t>
            </w:r>
          </w:p>
        </w:tc>
        <w:tc>
          <w:tcPr>
            <w:tcW w:w="13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vMerge w:val="restart"/>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58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КИРС</w:t>
            </w:r>
          </w:p>
        </w:tc>
      </w:tr>
      <w:tr>
        <w:trPr>
          <w:trHeight w:val="108" w:hRule="auto"/>
          <w:jc w:val="left"/>
        </w:trPr>
        <w:tc>
          <w:tcPr>
            <w:tcW w:w="16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откуп</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ресурси</w:t>
            </w: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1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самоуправа</w:t>
            </w:r>
          </w:p>
        </w:tc>
        <w:tc>
          <w:tcPr>
            <w:tcW w:w="1320" w:type="dxa"/>
            <w:vMerge/>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106"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средства</w:t>
            </w: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средстава</w:t>
            </w:r>
          </w:p>
        </w:tc>
        <w:tc>
          <w:tcPr>
            <w:tcW w:w="13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03" w:hRule="auto"/>
          <w:jc w:val="left"/>
        </w:trPr>
        <w:tc>
          <w:tcPr>
            <w:tcW w:w="16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домаћинстава</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20"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68" w:hRule="auto"/>
          <w:jc w:val="left"/>
        </w:trPr>
        <w:tc>
          <w:tcPr>
            <w:tcW w:w="16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80"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1.2.</w:t>
            </w:r>
            <w:r>
              <w:rPr>
                <w:rFonts w:ascii="Times New Roman" w:hAnsi="Times New Roman" w:cs="Times New Roman" w:eastAsia="Times New Roman"/>
                <w:color w:val="auto"/>
                <w:spacing w:val="0"/>
                <w:position w:val="0"/>
                <w:sz w:val="22"/>
                <w:shd w:fill="auto" w:val="clear"/>
              </w:rPr>
              <w:t xml:space="preserve">Формирање</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Одлука о</w:t>
            </w: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98" w:hRule="auto"/>
          <w:jc w:val="left"/>
        </w:trPr>
        <w:tc>
          <w:tcPr>
            <w:tcW w:w="16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комисије за</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36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Формирана</w:t>
            </w: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1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Председник</w:t>
            </w: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44"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15 </w:t>
            </w:r>
            <w:r>
              <w:rPr>
                <w:rFonts w:ascii="Times New Roman" w:hAnsi="Times New Roman" w:cs="Times New Roman" w:eastAsia="Times New Roman"/>
                <w:color w:val="auto"/>
                <w:spacing w:val="0"/>
                <w:position w:val="0"/>
                <w:sz w:val="22"/>
                <w:shd w:fill="auto" w:val="clear"/>
              </w:rPr>
              <w:t xml:space="preserve">дана</w:t>
            </w: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формирању</w:t>
            </w: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80" w:hRule="auto"/>
          <w:jc w:val="left"/>
        </w:trPr>
        <w:tc>
          <w:tcPr>
            <w:tcW w:w="16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избор корисника</w:t>
            </w:r>
          </w:p>
        </w:tc>
        <w:tc>
          <w:tcPr>
            <w:tcW w:w="14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50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комисија</w:t>
            </w: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66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општине</w:t>
            </w: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97"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комисије</w:t>
            </w: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64" w:hRule="auto"/>
          <w:jc w:val="left"/>
        </w:trPr>
        <w:tc>
          <w:tcPr>
            <w:tcW w:w="16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40"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24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1.3. </w:t>
            </w:r>
            <w:r>
              <w:rPr>
                <w:rFonts w:ascii="Times New Roman" w:hAnsi="Times New Roman" w:cs="Times New Roman" w:eastAsia="Times New Roman"/>
                <w:color w:val="auto"/>
                <w:spacing w:val="0"/>
                <w:position w:val="0"/>
                <w:sz w:val="22"/>
                <w:shd w:fill="auto" w:val="clear"/>
              </w:rPr>
              <w:t xml:space="preserve">Утврђивање</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06"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правилника и</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Усвојен текст</w:t>
            </w: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67" w:hRule="auto"/>
          <w:jc w:val="left"/>
        </w:trPr>
        <w:tc>
          <w:tcPr>
            <w:tcW w:w="16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24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јавног позива за</w:t>
            </w:r>
          </w:p>
        </w:tc>
        <w:tc>
          <w:tcPr>
            <w:tcW w:w="14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7 </w:t>
            </w:r>
            <w:r>
              <w:rPr>
                <w:rFonts w:ascii="Times New Roman" w:hAnsi="Times New Roman" w:cs="Times New Roman" w:eastAsia="Times New Roman"/>
                <w:color w:val="auto"/>
                <w:spacing w:val="0"/>
                <w:position w:val="0"/>
                <w:sz w:val="22"/>
                <w:shd w:fill="auto" w:val="clear"/>
              </w:rPr>
              <w:t xml:space="preserve">дана</w:t>
            </w: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29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Записник</w:t>
            </w: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Комисија за избор</w:t>
            </w: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46"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правилника и</w:t>
            </w: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65" w:hRule="auto"/>
          <w:jc w:val="left"/>
        </w:trPr>
        <w:tc>
          <w:tcPr>
            <w:tcW w:w="16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избор</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корисника</w:t>
            </w: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42"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јавног позива</w:t>
            </w: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70" w:hRule="auto"/>
          <w:jc w:val="left"/>
        </w:trPr>
        <w:tc>
          <w:tcPr>
            <w:tcW w:w="16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корисника</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42"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54" w:hRule="auto"/>
          <w:jc w:val="left"/>
        </w:trPr>
        <w:tc>
          <w:tcPr>
            <w:tcW w:w="16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20" w:hRule="auto"/>
          <w:jc w:val="left"/>
        </w:trPr>
        <w:tc>
          <w:tcPr>
            <w:tcW w:w="16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1.4.</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Објављен јавни</w:t>
            </w: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Број</w:t>
            </w: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Људски</w:t>
            </w: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02"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ресурси,</w:t>
            </w: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09"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Објављивање</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позив,</w:t>
            </w: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пријављених</w:t>
            </w: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простор и</w:t>
            </w: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Општинска</w:t>
            </w: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09"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јавног позива за</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 </w:t>
            </w:r>
            <w:r>
              <w:rPr>
                <w:rFonts w:ascii="Times New Roman" w:hAnsi="Times New Roman" w:cs="Times New Roman" w:eastAsia="Times New Roman"/>
                <w:color w:val="auto"/>
                <w:spacing w:val="0"/>
                <w:position w:val="0"/>
                <w:sz w:val="22"/>
                <w:shd w:fill="auto" w:val="clear"/>
              </w:rPr>
              <w:t xml:space="preserve">месеца</w:t>
            </w: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прикупљене</w:t>
            </w: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потенцијалних</w:t>
            </w: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опрема</w:t>
            </w: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комисија, ЛС</w:t>
            </w: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58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КИРС</w:t>
            </w:r>
          </w:p>
        </w:tc>
      </w:tr>
      <w:tr>
        <w:trPr>
          <w:trHeight w:val="202"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избор корисника</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пријаве</w:t>
            </w: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корисника</w:t>
            </w:r>
          </w:p>
        </w:tc>
        <w:tc>
          <w:tcPr>
            <w:tcW w:w="13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54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за рад</w:t>
            </w: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50"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40" w:hRule="auto"/>
          <w:jc w:val="left"/>
        </w:trPr>
        <w:tc>
          <w:tcPr>
            <w:tcW w:w="16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21"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1.5. </w:t>
            </w:r>
            <w:r>
              <w:rPr>
                <w:rFonts w:ascii="Times New Roman" w:hAnsi="Times New Roman" w:cs="Times New Roman" w:eastAsia="Times New Roman"/>
                <w:color w:val="auto"/>
                <w:spacing w:val="0"/>
                <w:position w:val="0"/>
                <w:sz w:val="22"/>
                <w:shd w:fill="auto" w:val="clear"/>
              </w:rPr>
              <w:t xml:space="preserve">Евалуација</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09"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пристуглих</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Утврђена листа</w:t>
            </w: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Записници и</w:t>
            </w: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25" w:hRule="auto"/>
          <w:jc w:val="left"/>
        </w:trPr>
        <w:tc>
          <w:tcPr>
            <w:tcW w:w="16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пријава и избор</w:t>
            </w:r>
          </w:p>
        </w:tc>
        <w:tc>
          <w:tcPr>
            <w:tcW w:w="14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 </w:t>
            </w:r>
            <w:r>
              <w:rPr>
                <w:rFonts w:ascii="Times New Roman" w:hAnsi="Times New Roman" w:cs="Times New Roman" w:eastAsia="Times New Roman"/>
                <w:color w:val="auto"/>
                <w:spacing w:val="0"/>
                <w:position w:val="0"/>
                <w:sz w:val="22"/>
                <w:shd w:fill="auto" w:val="clear"/>
              </w:rPr>
              <w:t xml:space="preserve">недеље</w:t>
            </w: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Комисија за избор</w:t>
            </w: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01"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корисника</w:t>
            </w: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конкурсна</w:t>
            </w: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18" w:hRule="auto"/>
          <w:jc w:val="left"/>
        </w:trPr>
        <w:tc>
          <w:tcPr>
            <w:tcW w:w="16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корисника</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корисника</w:t>
            </w: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94"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документација</w:t>
            </w: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03"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62" w:hRule="auto"/>
          <w:jc w:val="left"/>
        </w:trPr>
        <w:tc>
          <w:tcPr>
            <w:tcW w:w="16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36"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1.6. </w:t>
            </w:r>
            <w:r>
              <w:rPr>
                <w:rFonts w:ascii="Times New Roman" w:hAnsi="Times New Roman" w:cs="Times New Roman" w:eastAsia="Times New Roman"/>
                <w:color w:val="auto"/>
                <w:spacing w:val="0"/>
                <w:position w:val="0"/>
                <w:sz w:val="22"/>
                <w:shd w:fill="auto" w:val="clear"/>
              </w:rPr>
              <w:t xml:space="preserve">Израда и</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36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Утврђена и</w:t>
            </w: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34" w:hRule="auto"/>
          <w:jc w:val="left"/>
        </w:trPr>
        <w:tc>
          <w:tcPr>
            <w:tcW w:w="16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40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објављивање</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46"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36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објављена</w:t>
            </w: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34" w:hRule="auto"/>
          <w:jc w:val="left"/>
        </w:trPr>
        <w:tc>
          <w:tcPr>
            <w:tcW w:w="16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5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прелиминарне</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13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Записници,</w:t>
            </w:r>
          </w:p>
        </w:tc>
        <w:tc>
          <w:tcPr>
            <w:tcW w:w="13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Људски</w:t>
            </w: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70"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15 </w:t>
            </w:r>
            <w:r>
              <w:rPr>
                <w:rFonts w:ascii="Times New Roman" w:hAnsi="Times New Roman" w:cs="Times New Roman" w:eastAsia="Times New Roman"/>
                <w:color w:val="auto"/>
                <w:spacing w:val="0"/>
                <w:position w:val="0"/>
                <w:sz w:val="22"/>
                <w:shd w:fill="auto" w:val="clear"/>
              </w:rPr>
              <w:t xml:space="preserve">дана</w:t>
            </w: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vMerge w:val="restart"/>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44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КИРС</w:t>
            </w:r>
          </w:p>
        </w:tc>
      </w:tr>
      <w:tr>
        <w:trPr>
          <w:trHeight w:val="67"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прелиминарна</w:t>
            </w: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13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извештаји</w:t>
            </w:r>
          </w:p>
        </w:tc>
        <w:tc>
          <w:tcPr>
            <w:tcW w:w="13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ресурси</w:t>
            </w: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vMerge/>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77" w:hRule="auto"/>
          <w:jc w:val="left"/>
        </w:trPr>
        <w:tc>
          <w:tcPr>
            <w:tcW w:w="16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24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листе корисника</w:t>
            </w:r>
          </w:p>
        </w:tc>
        <w:tc>
          <w:tcPr>
            <w:tcW w:w="14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vMerge/>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65"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27"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листа</w:t>
            </w: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34"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42" w:hRule="auto"/>
          <w:jc w:val="left"/>
        </w:trPr>
        <w:tc>
          <w:tcPr>
            <w:tcW w:w="16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36"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1.7. </w:t>
            </w:r>
            <w:r>
              <w:rPr>
                <w:rFonts w:ascii="Times New Roman" w:hAnsi="Times New Roman" w:cs="Times New Roman" w:eastAsia="Times New Roman"/>
                <w:color w:val="auto"/>
                <w:spacing w:val="0"/>
                <w:position w:val="0"/>
                <w:sz w:val="22"/>
                <w:shd w:fill="auto" w:val="clear"/>
              </w:rPr>
              <w:t xml:space="preserve">Избор</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Склопљени</w:t>
            </w: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68" w:hRule="auto"/>
          <w:jc w:val="left"/>
        </w:trPr>
        <w:tc>
          <w:tcPr>
            <w:tcW w:w="16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корисника и</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1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Број склопљених</w:t>
            </w: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96"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уговори са</w:t>
            </w: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Комисија за избор</w:t>
            </w:r>
          </w:p>
        </w:tc>
        <w:tc>
          <w:tcPr>
            <w:tcW w:w="1320" w:type="dxa"/>
            <w:vMerge w:val="restart"/>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КИРС</w:t>
            </w:r>
          </w:p>
        </w:tc>
      </w:tr>
      <w:tr>
        <w:trPr>
          <w:trHeight w:val="89" w:hRule="auto"/>
          <w:jc w:val="left"/>
        </w:trPr>
        <w:tc>
          <w:tcPr>
            <w:tcW w:w="16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објављивање</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vMerge/>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235"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корисницима</w:t>
            </w: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1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уговора</w:t>
            </w: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корисника</w:t>
            </w: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13" w:hRule="auto"/>
          <w:jc w:val="left"/>
        </w:trPr>
        <w:tc>
          <w:tcPr>
            <w:tcW w:w="16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коначне листе</w:t>
            </w:r>
          </w:p>
        </w:tc>
        <w:tc>
          <w:tcPr>
            <w:tcW w:w="14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14" w:hRule="auto"/>
          <w:jc w:val="left"/>
        </w:trPr>
        <w:tc>
          <w:tcPr>
            <w:tcW w:w="16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1.8.</w:t>
            </w:r>
          </w:p>
        </w:tc>
        <w:tc>
          <w:tcPr>
            <w:tcW w:w="14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7 </w:t>
            </w:r>
            <w:r>
              <w:rPr>
                <w:rFonts w:ascii="Times New Roman" w:hAnsi="Times New Roman" w:cs="Times New Roman" w:eastAsia="Times New Roman"/>
                <w:color w:val="auto"/>
                <w:spacing w:val="0"/>
                <w:position w:val="0"/>
                <w:sz w:val="22"/>
                <w:shd w:fill="auto" w:val="clear"/>
              </w:rPr>
              <w:t xml:space="preserve">дана</w:t>
            </w: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Потписани и</w:t>
            </w: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Број оверених</w:t>
            </w: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54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Власник</w:t>
            </w:r>
          </w:p>
        </w:tc>
        <w:tc>
          <w:tcPr>
            <w:tcW w:w="1320" w:type="dxa"/>
            <w:vMerge w:val="restart"/>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Локална</w:t>
            </w:r>
          </w:p>
        </w:tc>
      </w:tr>
      <w:tr>
        <w:trPr>
          <w:trHeight w:val="122" w:hRule="auto"/>
          <w:jc w:val="left"/>
        </w:trPr>
        <w:tc>
          <w:tcPr>
            <w:tcW w:w="16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30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Потписивање и</w:t>
            </w:r>
          </w:p>
        </w:tc>
        <w:tc>
          <w:tcPr>
            <w:tcW w:w="14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предметне</w:t>
            </w:r>
          </w:p>
        </w:tc>
        <w:tc>
          <w:tcPr>
            <w:tcW w:w="1320" w:type="dxa"/>
            <w:vMerge/>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74"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оверени</w:t>
            </w: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уговора</w:t>
            </w: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vMerge w:val="restart"/>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самоуправа,</w:t>
            </w:r>
          </w:p>
        </w:tc>
      </w:tr>
      <w:tr>
        <w:trPr>
          <w:trHeight w:val="58"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непокретности,</w:t>
            </w:r>
          </w:p>
        </w:tc>
        <w:tc>
          <w:tcPr>
            <w:tcW w:w="1320" w:type="dxa"/>
            <w:vMerge/>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77" w:hRule="auto"/>
          <w:jc w:val="left"/>
        </w:trPr>
        <w:tc>
          <w:tcPr>
            <w:tcW w:w="16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5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овера</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vMerge/>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77"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купопродајни</w:t>
            </w: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vMerge w:val="restart"/>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КИРС</w:t>
            </w:r>
          </w:p>
        </w:tc>
      </w:tr>
      <w:tr>
        <w:trPr>
          <w:trHeight w:val="53"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корисник,</w:t>
            </w:r>
          </w:p>
        </w:tc>
        <w:tc>
          <w:tcPr>
            <w:tcW w:w="1320" w:type="dxa"/>
            <w:vMerge/>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82" w:hRule="auto"/>
          <w:jc w:val="left"/>
        </w:trPr>
        <w:tc>
          <w:tcPr>
            <w:tcW w:w="16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купопродајних</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vMerge/>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77"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уговори</w:t>
            </w: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32" w:hRule="auto"/>
          <w:jc w:val="left"/>
        </w:trPr>
        <w:tc>
          <w:tcPr>
            <w:tcW w:w="16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општина Сента</w:t>
            </w: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77" w:hRule="auto"/>
          <w:jc w:val="left"/>
        </w:trPr>
        <w:tc>
          <w:tcPr>
            <w:tcW w:w="16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уговора</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61" w:hRule="auto"/>
          <w:jc w:val="left"/>
        </w:trPr>
        <w:tc>
          <w:tcPr>
            <w:tcW w:w="1600" w:type="dxa"/>
            <w:vMerge/>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12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120" w:left="0" w:firstLine="0"/>
        <w:jc w:val="center"/>
        <w:rPr>
          <w:rFonts w:ascii="Times New Roman" w:hAnsi="Times New Roman" w:cs="Times New Roman" w:eastAsia="Times New Roman"/>
          <w:color w:val="auto"/>
          <w:spacing w:val="0"/>
          <w:position w:val="0"/>
          <w:sz w:val="22"/>
          <w:shd w:fill="auto" w:val="clear"/>
        </w:rPr>
      </w:pPr>
    </w:p>
    <w:tbl>
      <w:tblPr>
        <w:tblInd w:w="10" w:type="dxa"/>
      </w:tblPr>
      <w:tblGrid>
        <w:gridCol w:w="1600"/>
        <w:gridCol w:w="1420"/>
        <w:gridCol w:w="1500"/>
        <w:gridCol w:w="1500"/>
        <w:gridCol w:w="1320"/>
        <w:gridCol w:w="880"/>
        <w:gridCol w:w="1740"/>
        <w:gridCol w:w="1340"/>
      </w:tblGrid>
      <w:tr>
        <w:trPr>
          <w:trHeight w:val="211" w:hRule="auto"/>
          <w:jc w:val="left"/>
        </w:trPr>
        <w:tc>
          <w:tcPr>
            <w:tcW w:w="1600" w:type="dxa"/>
            <w:tcBorders>
              <w:top w:val="single" w:color="000000" w:sz="8"/>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59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1.9.</w:t>
            </w:r>
          </w:p>
        </w:tc>
        <w:tc>
          <w:tcPr>
            <w:tcW w:w="1420" w:type="dxa"/>
            <w:tcBorders>
              <w:top w:val="single" w:color="000000" w:sz="8"/>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8"/>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vMerge w:val="restart"/>
            <w:tcBorders>
              <w:top w:val="single" w:color="000000" w:sz="8"/>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Усељење</w:t>
            </w:r>
          </w:p>
        </w:tc>
        <w:tc>
          <w:tcPr>
            <w:tcW w:w="1320" w:type="dxa"/>
            <w:tcBorders>
              <w:top w:val="single" w:color="000000" w:sz="8"/>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80" w:type="dxa"/>
            <w:vMerge w:val="restart"/>
            <w:tcBorders>
              <w:top w:val="single" w:color="000000" w:sz="8"/>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14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Људски</w:t>
            </w:r>
          </w:p>
        </w:tc>
        <w:tc>
          <w:tcPr>
            <w:tcW w:w="1740" w:type="dxa"/>
            <w:tcBorders>
              <w:top w:val="single" w:color="000000" w:sz="8"/>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40" w:type="dxa"/>
            <w:tcBorders>
              <w:top w:val="single" w:color="000000" w:sz="8"/>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34" w:hRule="auto"/>
          <w:jc w:val="left"/>
        </w:trPr>
        <w:tc>
          <w:tcPr>
            <w:tcW w:w="160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33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Усељавање</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3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Број усељених</w:t>
            </w:r>
          </w:p>
        </w:tc>
        <w:tc>
          <w:tcPr>
            <w:tcW w:w="88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14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Локална самоуправа</w:t>
            </w:r>
          </w:p>
        </w:tc>
        <w:tc>
          <w:tcPr>
            <w:tcW w:w="13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34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КИРС</w:t>
            </w:r>
          </w:p>
        </w:tc>
      </w:tr>
      <w:tr>
        <w:trPr>
          <w:trHeight w:val="77" w:hRule="auto"/>
          <w:jc w:val="left"/>
        </w:trPr>
        <w:tc>
          <w:tcPr>
            <w:tcW w:w="160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најмање 3</w:t>
            </w:r>
          </w:p>
        </w:tc>
        <w:tc>
          <w:tcPr>
            <w:tcW w:w="13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88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ресурси</w:t>
            </w:r>
          </w:p>
        </w:tc>
        <w:tc>
          <w:tcPr>
            <w:tcW w:w="17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53" w:hRule="auto"/>
          <w:jc w:val="left"/>
        </w:trPr>
        <w:tc>
          <w:tcPr>
            <w:tcW w:w="160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1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домаћинстава</w:t>
            </w:r>
          </w:p>
        </w:tc>
        <w:tc>
          <w:tcPr>
            <w:tcW w:w="88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9" w:hRule="auto"/>
          <w:jc w:val="left"/>
        </w:trPr>
        <w:tc>
          <w:tcPr>
            <w:tcW w:w="160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39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откупљених</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88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4" w:hRule="auto"/>
          <w:jc w:val="left"/>
        </w:trPr>
        <w:tc>
          <w:tcPr>
            <w:tcW w:w="160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домаћинства</w:t>
            </w:r>
          </w:p>
        </w:tc>
        <w:tc>
          <w:tcPr>
            <w:tcW w:w="13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32" w:hRule="auto"/>
          <w:jc w:val="left"/>
        </w:trPr>
        <w:tc>
          <w:tcPr>
            <w:tcW w:w="160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35" w:hRule="auto"/>
          <w:jc w:val="left"/>
        </w:trPr>
        <w:tc>
          <w:tcPr>
            <w:tcW w:w="160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7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домаћинстава</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87" w:hRule="auto"/>
          <w:jc w:val="left"/>
        </w:trPr>
        <w:tc>
          <w:tcPr>
            <w:tcW w:w="1600" w:type="dxa"/>
            <w:tcBorders>
              <w:top w:val="single" w:color="000000" w:sz="0"/>
              <w:left w:val="single" w:color="000000" w:sz="8"/>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93" w:hRule="auto"/>
          <w:jc w:val="left"/>
        </w:trPr>
        <w:tc>
          <w:tcPr>
            <w:tcW w:w="160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Прикупљање и</w:t>
            </w: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Особе</w:t>
            </w: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34" w:hRule="auto"/>
          <w:jc w:val="left"/>
        </w:trPr>
        <w:tc>
          <w:tcPr>
            <w:tcW w:w="160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анализирање</w:t>
            </w: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Број и врста</w:t>
            </w:r>
          </w:p>
        </w:tc>
        <w:tc>
          <w:tcPr>
            <w:tcW w:w="13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7" w:hRule="auto"/>
          <w:jc w:val="left"/>
        </w:trPr>
        <w:tc>
          <w:tcPr>
            <w:tcW w:w="160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задужене за</w:t>
            </w: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34" w:hRule="auto"/>
          <w:jc w:val="left"/>
        </w:trPr>
        <w:tc>
          <w:tcPr>
            <w:tcW w:w="160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7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1.10. </w:t>
            </w:r>
            <w:r>
              <w:rPr>
                <w:rFonts w:ascii="Times New Roman" w:hAnsi="Times New Roman" w:cs="Times New Roman" w:eastAsia="Times New Roman"/>
                <w:color w:val="auto"/>
                <w:spacing w:val="0"/>
                <w:position w:val="0"/>
                <w:sz w:val="18"/>
                <w:shd w:fill="auto" w:val="clear"/>
              </w:rPr>
              <w:t xml:space="preserve">Праћење</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реализације</w:t>
            </w: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анализираних</w:t>
            </w:r>
          </w:p>
        </w:tc>
        <w:tc>
          <w:tcPr>
            <w:tcW w:w="13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4" w:hRule="auto"/>
          <w:jc w:val="left"/>
        </w:trPr>
        <w:tc>
          <w:tcPr>
            <w:tcW w:w="160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праћење и</w:t>
            </w: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37" w:hRule="auto"/>
          <w:jc w:val="left"/>
        </w:trPr>
        <w:tc>
          <w:tcPr>
            <w:tcW w:w="160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7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реализације и</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програма,</w:t>
            </w: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информација,</w:t>
            </w:r>
          </w:p>
        </w:tc>
        <w:tc>
          <w:tcPr>
            <w:tcW w:w="13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4" w:hRule="auto"/>
          <w:jc w:val="left"/>
        </w:trPr>
        <w:tc>
          <w:tcPr>
            <w:tcW w:w="160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24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6-12 </w:t>
            </w:r>
            <w:r>
              <w:rPr>
                <w:rFonts w:ascii="Times New Roman" w:hAnsi="Times New Roman" w:cs="Times New Roman" w:eastAsia="Times New Roman"/>
                <w:color w:val="auto"/>
                <w:spacing w:val="0"/>
                <w:position w:val="0"/>
                <w:sz w:val="18"/>
                <w:shd w:fill="auto" w:val="clear"/>
              </w:rPr>
              <w:t xml:space="preserve">месеци</w:t>
            </w: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оцењивање</w:t>
            </w: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Локална</w:t>
            </w:r>
          </w:p>
        </w:tc>
        <w:tc>
          <w:tcPr>
            <w:tcW w:w="13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73" w:hRule="auto"/>
          <w:jc w:val="left"/>
        </w:trPr>
        <w:tc>
          <w:tcPr>
            <w:tcW w:w="160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оцена</w:t>
            </w:r>
          </w:p>
        </w:tc>
        <w:tc>
          <w:tcPr>
            <w:tcW w:w="14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писање</w:t>
            </w: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број и врста</w:t>
            </w:r>
          </w:p>
        </w:tc>
        <w:tc>
          <w:tcPr>
            <w:tcW w:w="13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34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КИРС</w:t>
            </w:r>
          </w:p>
        </w:tc>
      </w:tr>
      <w:tr>
        <w:trPr>
          <w:trHeight w:val="209" w:hRule="auto"/>
          <w:jc w:val="left"/>
        </w:trPr>
        <w:tc>
          <w:tcPr>
            <w:tcW w:w="160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успешности</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извештаја,</w:t>
            </w: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извештаја и</w:t>
            </w: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овог дела</w:t>
            </w: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14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самоуправа</w:t>
            </w:r>
          </w:p>
        </w:tc>
        <w:tc>
          <w:tcPr>
            <w:tcW w:w="13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97" w:hRule="auto"/>
          <w:jc w:val="left"/>
        </w:trPr>
        <w:tc>
          <w:tcPr>
            <w:tcW w:w="160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програма</w:t>
            </w: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оцењена</w:t>
            </w:r>
          </w:p>
        </w:tc>
        <w:tc>
          <w:tcPr>
            <w:tcW w:w="15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препорука</w:t>
            </w: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ЛАП-а</w:t>
            </w: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2" w:hRule="auto"/>
          <w:jc w:val="left"/>
        </w:trPr>
        <w:tc>
          <w:tcPr>
            <w:tcW w:w="160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38" w:hRule="auto"/>
          <w:jc w:val="left"/>
        </w:trPr>
        <w:tc>
          <w:tcPr>
            <w:tcW w:w="160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успешности</w:t>
            </w:r>
          </w:p>
        </w:tc>
        <w:tc>
          <w:tcPr>
            <w:tcW w:w="15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87" w:hRule="auto"/>
          <w:jc w:val="left"/>
        </w:trPr>
        <w:tc>
          <w:tcPr>
            <w:tcW w:w="1600" w:type="dxa"/>
            <w:tcBorders>
              <w:top w:val="single" w:color="000000" w:sz="0"/>
              <w:left w:val="single" w:color="000000" w:sz="8"/>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8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10888" w:dyaOrig="8904">
          <v:rect xmlns:o="urn:schemas-microsoft-com:office:office" xmlns:v="urn:schemas-microsoft-com:vml" id="rectole0000000003" style="width:544.400000pt;height:445.2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73"/>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460" w:left="0" w:firstLine="0"/>
        <w:jc w:val="center"/>
        <w:rPr>
          <w:rFonts w:ascii="Times New Roman" w:hAnsi="Times New Roman" w:cs="Times New Roman" w:eastAsia="Times New Roman"/>
          <w:b/>
          <w:i/>
          <w:color w:val="auto"/>
          <w:spacing w:val="0"/>
          <w:position w:val="0"/>
          <w:sz w:val="18"/>
          <w:shd w:fill="auto" w:val="clear"/>
        </w:rPr>
      </w:pPr>
      <w:r>
        <w:rPr>
          <w:rFonts w:ascii="Times New Roman" w:hAnsi="Times New Roman" w:cs="Times New Roman" w:eastAsia="Times New Roman"/>
          <w:b/>
          <w:i/>
          <w:color w:val="auto"/>
          <w:spacing w:val="0"/>
          <w:position w:val="0"/>
          <w:sz w:val="18"/>
          <w:shd w:fill="auto" w:val="clear"/>
        </w:rPr>
        <w:t xml:space="preserve">Специфични циљ 2</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1185"/>
        </w:numPr>
        <w:tabs>
          <w:tab w:val="left" w:pos="1378" w:leader="none"/>
        </w:tabs>
        <w:spacing w:before="0" w:after="0" w:line="240"/>
        <w:ind w:right="1400" w:left="920" w:firstLine="281"/>
        <w:jc w:val="left"/>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периоду од 2024. до краја 2028. године пружити подршку за најмање три породице избеглих, интерно расељених лица и повратника доделом пакета грађевинског материјала за адаптацију постојећих неусловних</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460" w:left="0" w:firstLine="0"/>
        <w:jc w:val="center"/>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објеката</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tbl>
      <w:tblPr/>
      <w:tblGrid>
        <w:gridCol w:w="1800"/>
        <w:gridCol w:w="1620"/>
        <w:gridCol w:w="1540"/>
        <w:gridCol w:w="1660"/>
        <w:gridCol w:w="960"/>
        <w:gridCol w:w="1060"/>
        <w:gridCol w:w="1560"/>
        <w:gridCol w:w="1120"/>
        <w:gridCol w:w="1262"/>
      </w:tblGrid>
      <w:tr>
        <w:trPr>
          <w:trHeight w:val="192" w:hRule="auto"/>
          <w:jc w:val="left"/>
        </w:trPr>
        <w:tc>
          <w:tcPr>
            <w:tcW w:w="1800" w:type="dxa"/>
            <w:tcBorders>
              <w:top w:val="single" w:color="000000" w:sz="0"/>
              <w:left w:val="single" w:color="000000" w:sz="0"/>
              <w:bottom w:val="single" w:color="000000" w:sz="8"/>
              <w:right w:val="single" w:color="eeece1" w:sz="8"/>
            </w:tcBorders>
            <w:shd w:color="auto" w:fill="eeece1"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8"/>
              <w:right w:val="single" w:color="eeece1" w:sz="8"/>
            </w:tcBorders>
            <w:shd w:color="auto" w:fill="eeece1"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eeece1" w:sz="8"/>
            </w:tcBorders>
            <w:shd w:color="auto" w:fill="eeece1"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8"/>
              <w:right w:val="single" w:color="eeece1" w:sz="8"/>
            </w:tcBorders>
            <w:shd w:color="auto" w:fill="eeece1"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eeece1" w:sz="8"/>
            </w:tcBorders>
            <w:shd w:color="auto" w:fill="eeece1"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8"/>
              <w:right w:val="single" w:color="eeece1" w:sz="8"/>
            </w:tcBorders>
            <w:shd w:color="auto" w:fill="eeece1"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eeece1" w:sz="8"/>
            </w:tcBorders>
            <w:shd w:color="auto" w:fill="eeece1"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8"/>
              <w:right w:val="single" w:color="000000" w:sz="0"/>
            </w:tcBorders>
            <w:shd w:color="auto" w:fill="eeece1"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33" w:hRule="auto"/>
          <w:jc w:val="left"/>
        </w:trPr>
        <w:tc>
          <w:tcPr>
            <w:tcW w:w="18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20" w:type="dxa"/>
            <w:gridSpan w:val="2"/>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600" w:firstLine="0"/>
              <w:jc w:val="lef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Потребни</w:t>
            </w: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9" w:hRule="auto"/>
          <w:jc w:val="left"/>
        </w:trPr>
        <w:tc>
          <w:tcPr>
            <w:tcW w:w="18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20" w:type="dxa"/>
            <w:gridSpan w:val="2"/>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740" w:firstLine="0"/>
              <w:jc w:val="lef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ресурси</w:t>
            </w: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23" w:hRule="auto"/>
          <w:jc w:val="left"/>
        </w:trPr>
        <w:tc>
          <w:tcPr>
            <w:tcW w:w="18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360" w:firstLine="0"/>
              <w:jc w:val="lef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Планирано</w:t>
            </w: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2" w:hRule="auto"/>
          <w:jc w:val="left"/>
        </w:trPr>
        <w:tc>
          <w:tcPr>
            <w:tcW w:w="18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Буџет</w:t>
            </w: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82" w:type="dxa"/>
            <w:gridSpan w:val="2"/>
            <w:vMerge w:val="restart"/>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2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Партнери</w:t>
            </w:r>
          </w:p>
        </w:tc>
      </w:tr>
      <w:tr>
        <w:trPr>
          <w:trHeight w:val="53" w:hRule="auto"/>
          <w:jc w:val="left"/>
        </w:trPr>
        <w:tc>
          <w:tcPr>
            <w:tcW w:w="18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време</w:t>
            </w: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Носилац</w:t>
            </w:r>
          </w:p>
        </w:tc>
        <w:tc>
          <w:tcPr>
            <w:tcW w:w="2382" w:type="dxa"/>
            <w:gridSpan w:val="2"/>
            <w:vMerge/>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53" w:hRule="auto"/>
          <w:jc w:val="left"/>
        </w:trPr>
        <w:tc>
          <w:tcPr>
            <w:tcW w:w="18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Очекивани</w:t>
            </w: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ЛС</w:t>
            </w: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382" w:type="dxa"/>
            <w:gridSpan w:val="2"/>
            <w:vMerge/>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103" w:hRule="auto"/>
          <w:jc w:val="left"/>
        </w:trPr>
        <w:tc>
          <w:tcPr>
            <w:tcW w:w="18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382" w:type="dxa"/>
            <w:gridSpan w:val="2"/>
            <w:vMerge w:val="restart"/>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2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у</w:t>
            </w:r>
          </w:p>
        </w:tc>
      </w:tr>
      <w:tr>
        <w:trPr>
          <w:trHeight w:val="199" w:hRule="auto"/>
          <w:jc w:val="left"/>
        </w:trPr>
        <w:tc>
          <w:tcPr>
            <w:tcW w:w="18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19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Активности</w:t>
            </w:r>
          </w:p>
        </w:tc>
        <w:tc>
          <w:tcPr>
            <w:tcW w:w="16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реализације</w:t>
            </w: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19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Индикатори</w:t>
            </w:r>
          </w:p>
        </w:tc>
        <w:tc>
          <w:tcPr>
            <w:tcW w:w="9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Остали</w:t>
            </w: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активности</w:t>
            </w:r>
          </w:p>
        </w:tc>
        <w:tc>
          <w:tcPr>
            <w:tcW w:w="2382" w:type="dxa"/>
            <w:gridSpan w:val="2"/>
            <w:vMerge/>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230" w:hRule="auto"/>
          <w:jc w:val="left"/>
        </w:trPr>
        <w:tc>
          <w:tcPr>
            <w:tcW w:w="18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резултати</w:t>
            </w:r>
          </w:p>
        </w:tc>
        <w:tc>
          <w:tcPr>
            <w:tcW w:w="16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оста ли</w:t>
            </w:r>
          </w:p>
        </w:tc>
        <w:tc>
          <w:tcPr>
            <w:tcW w:w="10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382" w:type="dxa"/>
            <w:gridSpan w:val="2"/>
            <w:vMerge w:val="restart"/>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2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реализаији</w:t>
            </w:r>
          </w:p>
        </w:tc>
      </w:tr>
      <w:tr>
        <w:trPr>
          <w:trHeight w:val="68" w:hRule="auto"/>
          <w:jc w:val="left"/>
        </w:trPr>
        <w:tc>
          <w:tcPr>
            <w:tcW w:w="18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активности</w:t>
            </w: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82" w:type="dxa"/>
            <w:gridSpan w:val="2"/>
            <w:vMerge/>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197" w:hRule="auto"/>
          <w:jc w:val="left"/>
        </w:trPr>
        <w:tc>
          <w:tcPr>
            <w:tcW w:w="18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локални</w:t>
            </w: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извори</w:t>
            </w: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35" w:hRule="auto"/>
          <w:jc w:val="left"/>
        </w:trPr>
        <w:tc>
          <w:tcPr>
            <w:tcW w:w="18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ресурси</w:t>
            </w: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40" w:hRule="auto"/>
          <w:jc w:val="left"/>
        </w:trPr>
        <w:tc>
          <w:tcPr>
            <w:tcW w:w="18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58" w:hRule="auto"/>
          <w:jc w:val="left"/>
        </w:trPr>
        <w:tc>
          <w:tcPr>
            <w:tcW w:w="18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2.1.</w:t>
            </w: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36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Формирана</w:t>
            </w: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33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Одлука о</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23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Локална</w:t>
            </w: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4" w:hRule="auto"/>
          <w:jc w:val="left"/>
        </w:trPr>
        <w:tc>
          <w:tcPr>
            <w:tcW w:w="18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Формирање</w:t>
            </w:r>
          </w:p>
        </w:tc>
        <w:tc>
          <w:tcPr>
            <w:tcW w:w="16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15 </w:t>
            </w:r>
            <w:r>
              <w:rPr>
                <w:rFonts w:ascii="Times New Roman" w:hAnsi="Times New Roman" w:cs="Times New Roman" w:eastAsia="Times New Roman"/>
                <w:color w:val="auto"/>
                <w:spacing w:val="0"/>
                <w:position w:val="0"/>
                <w:sz w:val="22"/>
                <w:shd w:fill="auto" w:val="clear"/>
              </w:rPr>
              <w:t xml:space="preserve">дана</w:t>
            </w: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формирању</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34" w:hRule="auto"/>
          <w:jc w:val="left"/>
        </w:trPr>
        <w:tc>
          <w:tcPr>
            <w:tcW w:w="18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Комисије</w:t>
            </w:r>
          </w:p>
        </w:tc>
        <w:tc>
          <w:tcPr>
            <w:tcW w:w="16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52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комисија</w:t>
            </w:r>
          </w:p>
        </w:tc>
        <w:tc>
          <w:tcPr>
            <w:tcW w:w="16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23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Комисије</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19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самоуправа</w:t>
            </w: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62" w:hRule="auto"/>
          <w:jc w:val="left"/>
        </w:trPr>
        <w:tc>
          <w:tcPr>
            <w:tcW w:w="18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91" w:hRule="auto"/>
          <w:jc w:val="left"/>
        </w:trPr>
        <w:tc>
          <w:tcPr>
            <w:tcW w:w="18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6" w:hRule="auto"/>
          <w:jc w:val="left"/>
        </w:trPr>
        <w:tc>
          <w:tcPr>
            <w:tcW w:w="18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81" w:hRule="auto"/>
          <w:jc w:val="left"/>
        </w:trPr>
        <w:tc>
          <w:tcPr>
            <w:tcW w:w="18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19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2.2 </w:t>
            </w:r>
            <w:r>
              <w:rPr>
                <w:rFonts w:ascii="Times New Roman" w:hAnsi="Times New Roman" w:cs="Times New Roman" w:eastAsia="Times New Roman"/>
                <w:color w:val="auto"/>
                <w:spacing w:val="0"/>
                <w:position w:val="0"/>
                <w:sz w:val="22"/>
                <w:shd w:fill="auto" w:val="clear"/>
              </w:rPr>
              <w:t xml:space="preserve">Доношење</w:t>
            </w: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6" w:hRule="auto"/>
          <w:jc w:val="left"/>
        </w:trPr>
        <w:tc>
          <w:tcPr>
            <w:tcW w:w="18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19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правилника и</w:t>
            </w: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Донесен</w:t>
            </w: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25" w:hRule="auto"/>
          <w:jc w:val="left"/>
        </w:trPr>
        <w:tc>
          <w:tcPr>
            <w:tcW w:w="18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израда критеријума</w:t>
            </w: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Правилник и</w:t>
            </w:r>
          </w:p>
        </w:tc>
        <w:tc>
          <w:tcPr>
            <w:tcW w:w="9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Људски</w:t>
            </w: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Комисија за</w:t>
            </w: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03" w:hRule="auto"/>
          <w:jc w:val="left"/>
        </w:trPr>
        <w:tc>
          <w:tcPr>
            <w:tcW w:w="18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правилник,</w:t>
            </w:r>
          </w:p>
        </w:tc>
        <w:tc>
          <w:tcPr>
            <w:tcW w:w="16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08" w:hRule="auto"/>
          <w:jc w:val="left"/>
        </w:trPr>
        <w:tc>
          <w:tcPr>
            <w:tcW w:w="18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за одабир</w:t>
            </w:r>
          </w:p>
        </w:tc>
        <w:tc>
          <w:tcPr>
            <w:tcW w:w="16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7 </w:t>
            </w:r>
            <w:r>
              <w:rPr>
                <w:rFonts w:ascii="Times New Roman" w:hAnsi="Times New Roman" w:cs="Times New Roman" w:eastAsia="Times New Roman"/>
                <w:color w:val="auto"/>
                <w:spacing w:val="0"/>
                <w:position w:val="0"/>
                <w:sz w:val="22"/>
                <w:shd w:fill="auto" w:val="clear"/>
              </w:rPr>
              <w:t xml:space="preserve">дана</w:t>
            </w: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критеријуми</w:t>
            </w:r>
          </w:p>
        </w:tc>
        <w:tc>
          <w:tcPr>
            <w:tcW w:w="9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ресурси</w:t>
            </w: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избор корисника</w:t>
            </w:r>
          </w:p>
        </w:tc>
        <w:tc>
          <w:tcPr>
            <w:tcW w:w="2382" w:type="dxa"/>
            <w:gridSpan w:val="2"/>
            <w:vMerge w:val="restart"/>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50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КИРС</w:t>
            </w:r>
          </w:p>
        </w:tc>
      </w:tr>
      <w:tr>
        <w:trPr>
          <w:trHeight w:val="103" w:hRule="auto"/>
          <w:jc w:val="left"/>
        </w:trPr>
        <w:tc>
          <w:tcPr>
            <w:tcW w:w="18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израђени</w:t>
            </w:r>
          </w:p>
        </w:tc>
        <w:tc>
          <w:tcPr>
            <w:tcW w:w="16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382" w:type="dxa"/>
            <w:gridSpan w:val="2"/>
            <w:vMerge/>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108" w:hRule="auto"/>
          <w:jc w:val="left"/>
        </w:trPr>
        <w:tc>
          <w:tcPr>
            <w:tcW w:w="18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приоритетних</w:t>
            </w: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89" w:hRule="auto"/>
          <w:jc w:val="left"/>
        </w:trPr>
        <w:tc>
          <w:tcPr>
            <w:tcW w:w="18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критеријуми</w:t>
            </w: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20" w:hRule="auto"/>
          <w:jc w:val="left"/>
        </w:trPr>
        <w:tc>
          <w:tcPr>
            <w:tcW w:w="18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породица</w:t>
            </w: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18" w:hRule="auto"/>
          <w:jc w:val="left"/>
        </w:trPr>
        <w:tc>
          <w:tcPr>
            <w:tcW w:w="18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6" w:hRule="auto"/>
          <w:jc w:val="left"/>
        </w:trPr>
        <w:tc>
          <w:tcPr>
            <w:tcW w:w="18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91" w:hRule="auto"/>
          <w:jc w:val="left"/>
        </w:trPr>
        <w:tc>
          <w:tcPr>
            <w:tcW w:w="18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2.3.</w:t>
            </w: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60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Оглас</w:t>
            </w: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Објава из</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Комисија за</w:t>
            </w: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32" w:hRule="auto"/>
          <w:jc w:val="left"/>
        </w:trPr>
        <w:tc>
          <w:tcPr>
            <w:tcW w:w="18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Расписивање огласа</w:t>
            </w:r>
          </w:p>
        </w:tc>
        <w:tc>
          <w:tcPr>
            <w:tcW w:w="16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 </w:t>
            </w:r>
            <w:r>
              <w:rPr>
                <w:rFonts w:ascii="Times New Roman" w:hAnsi="Times New Roman" w:cs="Times New Roman" w:eastAsia="Times New Roman"/>
                <w:color w:val="auto"/>
                <w:spacing w:val="0"/>
                <w:position w:val="0"/>
                <w:sz w:val="22"/>
                <w:shd w:fill="auto" w:val="clear"/>
              </w:rPr>
              <w:t xml:space="preserve">недеље</w:t>
            </w: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средстава јавног</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избор корисника</w:t>
            </w: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7" w:hRule="auto"/>
          <w:jc w:val="left"/>
        </w:trPr>
        <w:tc>
          <w:tcPr>
            <w:tcW w:w="18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објављен</w:t>
            </w:r>
          </w:p>
        </w:tc>
        <w:tc>
          <w:tcPr>
            <w:tcW w:w="16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32" w:hRule="auto"/>
          <w:jc w:val="left"/>
        </w:trPr>
        <w:tc>
          <w:tcPr>
            <w:tcW w:w="18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информисања</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65" w:hRule="auto"/>
          <w:jc w:val="left"/>
        </w:trPr>
        <w:tc>
          <w:tcPr>
            <w:tcW w:w="18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66" w:hRule="auto"/>
          <w:jc w:val="left"/>
        </w:trPr>
        <w:tc>
          <w:tcPr>
            <w:tcW w:w="18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14" w:hRule="auto"/>
          <w:jc w:val="left"/>
        </w:trPr>
        <w:tc>
          <w:tcPr>
            <w:tcW w:w="18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25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2.4. </w:t>
            </w:r>
            <w:r>
              <w:rPr>
                <w:rFonts w:ascii="Times New Roman" w:hAnsi="Times New Roman" w:cs="Times New Roman" w:eastAsia="Times New Roman"/>
                <w:color w:val="auto"/>
                <w:spacing w:val="0"/>
                <w:position w:val="0"/>
                <w:sz w:val="22"/>
                <w:shd w:fill="auto" w:val="clear"/>
              </w:rPr>
              <w:t xml:space="preserve">Избор</w:t>
            </w: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Утврђена и</w:t>
            </w: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96" w:hRule="auto"/>
          <w:jc w:val="left"/>
        </w:trPr>
        <w:tc>
          <w:tcPr>
            <w:tcW w:w="18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21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корисника и</w:t>
            </w: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13" w:hRule="auto"/>
          <w:jc w:val="left"/>
        </w:trPr>
        <w:tc>
          <w:tcPr>
            <w:tcW w:w="18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објављена</w:t>
            </w:r>
          </w:p>
        </w:tc>
        <w:tc>
          <w:tcPr>
            <w:tcW w:w="16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21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Записници,</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Комисија за</w:t>
            </w: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08" w:hRule="auto"/>
          <w:jc w:val="left"/>
        </w:trPr>
        <w:tc>
          <w:tcPr>
            <w:tcW w:w="18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29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израда</w:t>
            </w: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06" w:hRule="auto"/>
          <w:jc w:val="left"/>
        </w:trPr>
        <w:tc>
          <w:tcPr>
            <w:tcW w:w="18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15 </w:t>
            </w:r>
            <w:r>
              <w:rPr>
                <w:rFonts w:ascii="Times New Roman" w:hAnsi="Times New Roman" w:cs="Times New Roman" w:eastAsia="Times New Roman"/>
                <w:color w:val="auto"/>
                <w:spacing w:val="0"/>
                <w:position w:val="0"/>
                <w:sz w:val="22"/>
                <w:shd w:fill="auto" w:val="clear"/>
              </w:rPr>
              <w:t xml:space="preserve">дана</w:t>
            </w: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прелимина рна</w:t>
            </w:r>
          </w:p>
        </w:tc>
        <w:tc>
          <w:tcPr>
            <w:tcW w:w="16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23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извештаји</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избор корисника</w:t>
            </w: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06" w:hRule="auto"/>
          <w:jc w:val="left"/>
        </w:trPr>
        <w:tc>
          <w:tcPr>
            <w:tcW w:w="18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прелиминарне листе</w:t>
            </w:r>
          </w:p>
        </w:tc>
        <w:tc>
          <w:tcPr>
            <w:tcW w:w="16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97" w:hRule="auto"/>
          <w:jc w:val="left"/>
        </w:trPr>
        <w:tc>
          <w:tcPr>
            <w:tcW w:w="18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листа</w:t>
            </w: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92" w:hRule="auto"/>
          <w:jc w:val="left"/>
        </w:trPr>
        <w:tc>
          <w:tcPr>
            <w:tcW w:w="18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60" w:hRule="auto"/>
          <w:jc w:val="left"/>
        </w:trPr>
        <w:tc>
          <w:tcPr>
            <w:tcW w:w="180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21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2.5. </w:t>
            </w:r>
            <w:r>
              <w:rPr>
                <w:rFonts w:ascii="Times New Roman" w:hAnsi="Times New Roman" w:cs="Times New Roman" w:eastAsia="Times New Roman"/>
                <w:color w:val="auto"/>
                <w:spacing w:val="0"/>
                <w:position w:val="0"/>
                <w:sz w:val="22"/>
                <w:shd w:fill="auto" w:val="clear"/>
              </w:rPr>
              <w:t xml:space="preserve">Израда и</w:t>
            </w: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Утврђена</w:t>
            </w: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Људски</w:t>
            </w: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Комисија за избор</w:t>
            </w: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03" w:hRule="auto"/>
          <w:jc w:val="left"/>
        </w:trPr>
        <w:tc>
          <w:tcPr>
            <w:tcW w:w="18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21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објављивање</w:t>
            </w: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коначна</w:t>
            </w: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99" w:hRule="auto"/>
          <w:jc w:val="left"/>
        </w:trPr>
        <w:tc>
          <w:tcPr>
            <w:tcW w:w="18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 </w:t>
            </w:r>
            <w:r>
              <w:rPr>
                <w:rFonts w:ascii="Times New Roman" w:hAnsi="Times New Roman" w:cs="Times New Roman" w:eastAsia="Times New Roman"/>
                <w:color w:val="auto"/>
                <w:spacing w:val="0"/>
                <w:position w:val="0"/>
                <w:sz w:val="22"/>
                <w:shd w:fill="auto" w:val="clear"/>
              </w:rPr>
              <w:t xml:space="preserve">дана</w:t>
            </w: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23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Записник</w:t>
            </w:r>
          </w:p>
        </w:tc>
        <w:tc>
          <w:tcPr>
            <w:tcW w:w="9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21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корисника</w:t>
            </w:r>
          </w:p>
        </w:tc>
        <w:tc>
          <w:tcPr>
            <w:tcW w:w="2382" w:type="dxa"/>
            <w:gridSpan w:val="2"/>
            <w:vMerge w:val="restart"/>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50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КИРС</w:t>
            </w:r>
          </w:p>
        </w:tc>
      </w:tr>
      <w:tr>
        <w:trPr>
          <w:trHeight w:val="197" w:hRule="auto"/>
          <w:jc w:val="left"/>
        </w:trPr>
        <w:tc>
          <w:tcPr>
            <w:tcW w:w="180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19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коначне листе</w:t>
            </w:r>
          </w:p>
        </w:tc>
        <w:tc>
          <w:tcPr>
            <w:tcW w:w="16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листа</w:t>
            </w:r>
          </w:p>
        </w:tc>
        <w:tc>
          <w:tcPr>
            <w:tcW w:w="16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ресурси</w:t>
            </w: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382" w:type="dxa"/>
            <w:gridSpan w:val="2"/>
            <w:vMerge/>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58" w:hRule="auto"/>
          <w:jc w:val="left"/>
        </w:trPr>
        <w:tc>
          <w:tcPr>
            <w:tcW w:w="180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80" w:hRule="auto"/>
          <w:jc w:val="left"/>
        </w:trPr>
        <w:tc>
          <w:tcPr>
            <w:tcW w:w="180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20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200" w:left="0" w:firstLine="0"/>
        <w:jc w:val="center"/>
        <w:rPr>
          <w:rFonts w:ascii="Times New Roman" w:hAnsi="Times New Roman" w:cs="Times New Roman" w:eastAsia="Times New Roman"/>
          <w:color w:val="auto"/>
          <w:spacing w:val="0"/>
          <w:position w:val="0"/>
          <w:sz w:val="22"/>
          <w:shd w:fill="auto" w:val="clear"/>
        </w:rPr>
      </w:pPr>
    </w:p>
    <w:tbl>
      <w:tblPr>
        <w:tblInd w:w="10" w:type="dxa"/>
      </w:tblPr>
      <w:tblGrid>
        <w:gridCol w:w="1800"/>
        <w:gridCol w:w="1620"/>
        <w:gridCol w:w="1540"/>
        <w:gridCol w:w="1660"/>
        <w:gridCol w:w="960"/>
        <w:gridCol w:w="1060"/>
        <w:gridCol w:w="1560"/>
        <w:gridCol w:w="1160"/>
      </w:tblGrid>
      <w:tr>
        <w:trPr>
          <w:trHeight w:val="706" w:hRule="auto"/>
          <w:jc w:val="left"/>
        </w:trPr>
        <w:tc>
          <w:tcPr>
            <w:tcW w:w="1800" w:type="dxa"/>
            <w:tcBorders>
              <w:top w:val="single" w:color="000000" w:sz="8"/>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2.6.</w:t>
            </w:r>
          </w:p>
        </w:tc>
        <w:tc>
          <w:tcPr>
            <w:tcW w:w="1620" w:type="dxa"/>
            <w:tcBorders>
              <w:top w:val="single" w:color="000000" w:sz="8"/>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8"/>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Тендер</w:t>
            </w:r>
          </w:p>
        </w:tc>
        <w:tc>
          <w:tcPr>
            <w:tcW w:w="1660" w:type="dxa"/>
            <w:tcBorders>
              <w:top w:val="single" w:color="000000" w:sz="8"/>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8"/>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8"/>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8"/>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8"/>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9" w:hRule="auto"/>
          <w:jc w:val="left"/>
        </w:trPr>
        <w:tc>
          <w:tcPr>
            <w:tcW w:w="180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Расписивање</w:t>
            </w: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расписан и</w:t>
            </w:r>
          </w:p>
        </w:tc>
        <w:tc>
          <w:tcPr>
            <w:tcW w:w="16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Пристигле</w:t>
            </w:r>
          </w:p>
        </w:tc>
        <w:tc>
          <w:tcPr>
            <w:tcW w:w="9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18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Људски</w:t>
            </w: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30" w:hRule="auto"/>
          <w:jc w:val="left"/>
        </w:trPr>
        <w:tc>
          <w:tcPr>
            <w:tcW w:w="180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тендера и одабир</w:t>
            </w:r>
          </w:p>
        </w:tc>
        <w:tc>
          <w:tcPr>
            <w:tcW w:w="16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 </w:t>
            </w:r>
            <w:r>
              <w:rPr>
                <w:rFonts w:ascii="Times New Roman" w:hAnsi="Times New Roman" w:cs="Times New Roman" w:eastAsia="Times New Roman"/>
                <w:color w:val="auto"/>
                <w:spacing w:val="0"/>
                <w:position w:val="0"/>
                <w:sz w:val="22"/>
                <w:shd w:fill="auto" w:val="clear"/>
              </w:rPr>
              <w:t xml:space="preserve">недеља</w:t>
            </w: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одабран</w:t>
            </w:r>
          </w:p>
        </w:tc>
        <w:tc>
          <w:tcPr>
            <w:tcW w:w="16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Комисија за</w:t>
            </w: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82" w:hRule="auto"/>
          <w:jc w:val="left"/>
        </w:trPr>
        <w:tc>
          <w:tcPr>
            <w:tcW w:w="180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понуде</w:t>
            </w:r>
          </w:p>
        </w:tc>
        <w:tc>
          <w:tcPr>
            <w:tcW w:w="9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16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ресурси</w:t>
            </w: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27" w:hRule="auto"/>
          <w:jc w:val="left"/>
        </w:trPr>
        <w:tc>
          <w:tcPr>
            <w:tcW w:w="180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најбољег</w:t>
            </w: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најбољи</w:t>
            </w:r>
          </w:p>
        </w:tc>
        <w:tc>
          <w:tcPr>
            <w:tcW w:w="16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избор корисника</w:t>
            </w: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84" w:hRule="auto"/>
          <w:jc w:val="left"/>
        </w:trPr>
        <w:tc>
          <w:tcPr>
            <w:tcW w:w="180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33" w:hRule="auto"/>
          <w:jc w:val="left"/>
        </w:trPr>
        <w:tc>
          <w:tcPr>
            <w:tcW w:w="180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добављача</w:t>
            </w: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понуђач</w:t>
            </w: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7" w:hRule="auto"/>
          <w:jc w:val="left"/>
        </w:trPr>
        <w:tc>
          <w:tcPr>
            <w:tcW w:w="1800" w:type="dxa"/>
            <w:tcBorders>
              <w:top w:val="single" w:color="000000" w:sz="0"/>
              <w:left w:val="single" w:color="000000" w:sz="8"/>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647" w:hRule="auto"/>
          <w:jc w:val="left"/>
        </w:trPr>
        <w:tc>
          <w:tcPr>
            <w:tcW w:w="180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2.7.</w:t>
            </w: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9" w:hRule="auto"/>
          <w:jc w:val="left"/>
        </w:trPr>
        <w:tc>
          <w:tcPr>
            <w:tcW w:w="180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Потписивање</w:t>
            </w:r>
          </w:p>
        </w:tc>
        <w:tc>
          <w:tcPr>
            <w:tcW w:w="16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 </w:t>
            </w:r>
            <w:r>
              <w:rPr>
                <w:rFonts w:ascii="Times New Roman" w:hAnsi="Times New Roman" w:cs="Times New Roman" w:eastAsia="Times New Roman"/>
                <w:color w:val="auto"/>
                <w:spacing w:val="0"/>
                <w:position w:val="0"/>
                <w:sz w:val="22"/>
                <w:shd w:fill="auto" w:val="clear"/>
              </w:rPr>
              <w:t xml:space="preserve">дана</w:t>
            </w: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Потписан уговор</w:t>
            </w:r>
          </w:p>
        </w:tc>
        <w:tc>
          <w:tcPr>
            <w:tcW w:w="16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Уговор</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Комисија за избор</w:t>
            </w: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67" w:hRule="auto"/>
          <w:jc w:val="left"/>
        </w:trPr>
        <w:tc>
          <w:tcPr>
            <w:tcW w:w="180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уговора са</w:t>
            </w:r>
          </w:p>
        </w:tc>
        <w:tc>
          <w:tcPr>
            <w:tcW w:w="16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42" w:hRule="auto"/>
          <w:jc w:val="left"/>
        </w:trPr>
        <w:tc>
          <w:tcPr>
            <w:tcW w:w="180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корисника</w:t>
            </w: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65" w:hRule="auto"/>
          <w:jc w:val="left"/>
        </w:trPr>
        <w:tc>
          <w:tcPr>
            <w:tcW w:w="180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8" w:hRule="auto"/>
          <w:jc w:val="left"/>
        </w:trPr>
        <w:tc>
          <w:tcPr>
            <w:tcW w:w="180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добављачем</w:t>
            </w: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62" w:hRule="auto"/>
          <w:jc w:val="left"/>
        </w:trPr>
        <w:tc>
          <w:tcPr>
            <w:tcW w:w="1800" w:type="dxa"/>
            <w:tcBorders>
              <w:top w:val="single" w:color="000000" w:sz="0"/>
              <w:left w:val="single" w:color="000000" w:sz="8"/>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31" w:hRule="auto"/>
          <w:jc w:val="left"/>
        </w:trPr>
        <w:tc>
          <w:tcPr>
            <w:tcW w:w="180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2.8.</w:t>
            </w: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Потписани</w:t>
            </w: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4" w:hRule="auto"/>
          <w:jc w:val="left"/>
        </w:trPr>
        <w:tc>
          <w:tcPr>
            <w:tcW w:w="180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Потписивање</w:t>
            </w:r>
          </w:p>
        </w:tc>
        <w:tc>
          <w:tcPr>
            <w:tcW w:w="16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 </w:t>
            </w:r>
            <w:r>
              <w:rPr>
                <w:rFonts w:ascii="Times New Roman" w:hAnsi="Times New Roman" w:cs="Times New Roman" w:eastAsia="Times New Roman"/>
                <w:color w:val="auto"/>
                <w:spacing w:val="0"/>
                <w:position w:val="0"/>
                <w:sz w:val="22"/>
                <w:shd w:fill="auto" w:val="clear"/>
              </w:rPr>
              <w:t xml:space="preserve">дана</w:t>
            </w: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Садржај уговора</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91" w:hRule="auto"/>
          <w:jc w:val="left"/>
        </w:trPr>
        <w:tc>
          <w:tcPr>
            <w:tcW w:w="180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уговора са</w:t>
            </w:r>
          </w:p>
        </w:tc>
        <w:tc>
          <w:tcPr>
            <w:tcW w:w="16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уговори</w:t>
            </w:r>
          </w:p>
        </w:tc>
        <w:tc>
          <w:tcPr>
            <w:tcW w:w="16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32" w:hRule="auto"/>
          <w:jc w:val="left"/>
        </w:trPr>
        <w:tc>
          <w:tcPr>
            <w:tcW w:w="180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9" w:hRule="auto"/>
          <w:jc w:val="left"/>
        </w:trPr>
        <w:tc>
          <w:tcPr>
            <w:tcW w:w="180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1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корисницима</w:t>
            </w: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00" w:hRule="auto"/>
          <w:jc w:val="left"/>
        </w:trPr>
        <w:tc>
          <w:tcPr>
            <w:tcW w:w="1800" w:type="dxa"/>
            <w:tcBorders>
              <w:top w:val="single" w:color="000000" w:sz="0"/>
              <w:left w:val="single" w:color="000000" w:sz="8"/>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09" w:hRule="auto"/>
          <w:jc w:val="left"/>
        </w:trPr>
        <w:tc>
          <w:tcPr>
            <w:tcW w:w="180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2.9. </w:t>
            </w:r>
            <w:r>
              <w:rPr>
                <w:rFonts w:ascii="Times New Roman" w:hAnsi="Times New Roman" w:cs="Times New Roman" w:eastAsia="Times New Roman"/>
                <w:color w:val="auto"/>
                <w:spacing w:val="0"/>
                <w:position w:val="0"/>
                <w:sz w:val="22"/>
                <w:shd w:fill="auto" w:val="clear"/>
              </w:rPr>
              <w:t xml:space="preserve">Испорука</w:t>
            </w: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Отпремница о</w:t>
            </w: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Повереник</w:t>
            </w: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11" w:hRule="auto"/>
          <w:jc w:val="left"/>
        </w:trPr>
        <w:tc>
          <w:tcPr>
            <w:tcW w:w="180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16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Људски</w:t>
            </w: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Комисија за</w:t>
            </w: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03" w:hRule="auto"/>
          <w:jc w:val="left"/>
        </w:trPr>
        <w:tc>
          <w:tcPr>
            <w:tcW w:w="180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грађевинског</w:t>
            </w:r>
          </w:p>
        </w:tc>
        <w:tc>
          <w:tcPr>
            <w:tcW w:w="16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30 </w:t>
            </w:r>
            <w:r>
              <w:rPr>
                <w:rFonts w:ascii="Times New Roman" w:hAnsi="Times New Roman" w:cs="Times New Roman" w:eastAsia="Times New Roman"/>
                <w:color w:val="auto"/>
                <w:spacing w:val="0"/>
                <w:position w:val="0"/>
                <w:sz w:val="22"/>
                <w:shd w:fill="auto" w:val="clear"/>
              </w:rPr>
              <w:t xml:space="preserve">дана</w:t>
            </w: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испорученом</w:t>
            </w:r>
          </w:p>
        </w:tc>
        <w:tc>
          <w:tcPr>
            <w:tcW w:w="16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Отпремница</w:t>
            </w:r>
          </w:p>
        </w:tc>
        <w:tc>
          <w:tcPr>
            <w:tcW w:w="9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32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КИРС</w:t>
            </w:r>
          </w:p>
        </w:tc>
      </w:tr>
      <w:tr>
        <w:trPr>
          <w:trHeight w:val="115" w:hRule="auto"/>
          <w:jc w:val="left"/>
        </w:trPr>
        <w:tc>
          <w:tcPr>
            <w:tcW w:w="180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16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ресурси</w:t>
            </w: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избор</w:t>
            </w:r>
          </w:p>
        </w:tc>
        <w:tc>
          <w:tcPr>
            <w:tcW w:w="11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91" w:hRule="auto"/>
          <w:jc w:val="left"/>
        </w:trPr>
        <w:tc>
          <w:tcPr>
            <w:tcW w:w="180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материјала</w:t>
            </w: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материјалу</w:t>
            </w: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06" w:hRule="auto"/>
          <w:jc w:val="left"/>
        </w:trPr>
        <w:tc>
          <w:tcPr>
            <w:tcW w:w="180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корисника,</w:t>
            </w: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03" w:hRule="auto"/>
          <w:jc w:val="left"/>
        </w:trPr>
        <w:tc>
          <w:tcPr>
            <w:tcW w:w="180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28" w:hRule="auto"/>
          <w:jc w:val="left"/>
        </w:trPr>
        <w:tc>
          <w:tcPr>
            <w:tcW w:w="1800" w:type="dxa"/>
            <w:tcBorders>
              <w:top w:val="single" w:color="000000" w:sz="0"/>
              <w:left w:val="single" w:color="000000" w:sz="8"/>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618" w:hRule="auto"/>
          <w:jc w:val="left"/>
        </w:trPr>
        <w:tc>
          <w:tcPr>
            <w:tcW w:w="180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2.10. </w:t>
            </w:r>
            <w:r>
              <w:rPr>
                <w:rFonts w:ascii="Times New Roman" w:hAnsi="Times New Roman" w:cs="Times New Roman" w:eastAsia="Times New Roman"/>
                <w:color w:val="auto"/>
                <w:spacing w:val="0"/>
                <w:position w:val="0"/>
                <w:sz w:val="22"/>
                <w:shd w:fill="auto" w:val="clear"/>
              </w:rPr>
              <w:t xml:space="preserve">Праћење</w:t>
            </w: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Попраћена</w:t>
            </w: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Повереник</w:t>
            </w: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91" w:hRule="auto"/>
          <w:jc w:val="left"/>
        </w:trPr>
        <w:tc>
          <w:tcPr>
            <w:tcW w:w="180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реализација</w:t>
            </w: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06" w:hRule="auto"/>
          <w:jc w:val="left"/>
        </w:trPr>
        <w:tc>
          <w:tcPr>
            <w:tcW w:w="180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уградње</w:t>
            </w: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Фотографије,</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Комисија за</w:t>
            </w: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08" w:hRule="auto"/>
          <w:jc w:val="left"/>
        </w:trPr>
        <w:tc>
          <w:tcPr>
            <w:tcW w:w="180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 </w:t>
            </w:r>
            <w:r>
              <w:rPr>
                <w:rFonts w:ascii="Times New Roman" w:hAnsi="Times New Roman" w:cs="Times New Roman" w:eastAsia="Times New Roman"/>
                <w:color w:val="auto"/>
                <w:spacing w:val="0"/>
                <w:position w:val="0"/>
                <w:sz w:val="22"/>
                <w:shd w:fill="auto" w:val="clear"/>
              </w:rPr>
              <w:t xml:space="preserve">месеца</w:t>
            </w: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програма и</w:t>
            </w:r>
          </w:p>
        </w:tc>
        <w:tc>
          <w:tcPr>
            <w:tcW w:w="16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32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КИРС</w:t>
            </w:r>
          </w:p>
        </w:tc>
      </w:tr>
      <w:tr>
        <w:trPr>
          <w:trHeight w:val="103" w:hRule="auto"/>
          <w:jc w:val="left"/>
        </w:trPr>
        <w:tc>
          <w:tcPr>
            <w:tcW w:w="180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грађевинског</w:t>
            </w:r>
          </w:p>
        </w:tc>
        <w:tc>
          <w:tcPr>
            <w:tcW w:w="16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записници</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избор</w:t>
            </w:r>
          </w:p>
        </w:tc>
        <w:tc>
          <w:tcPr>
            <w:tcW w:w="11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113" w:hRule="auto"/>
          <w:jc w:val="left"/>
        </w:trPr>
        <w:tc>
          <w:tcPr>
            <w:tcW w:w="180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уградња</w:t>
            </w:r>
          </w:p>
        </w:tc>
        <w:tc>
          <w:tcPr>
            <w:tcW w:w="16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96" w:hRule="auto"/>
          <w:jc w:val="left"/>
        </w:trPr>
        <w:tc>
          <w:tcPr>
            <w:tcW w:w="180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корисника,</w:t>
            </w: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01" w:hRule="auto"/>
          <w:jc w:val="left"/>
        </w:trPr>
        <w:tc>
          <w:tcPr>
            <w:tcW w:w="180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материјала</w:t>
            </w: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материјала</w:t>
            </w: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13" w:hRule="auto"/>
          <w:jc w:val="left"/>
        </w:trPr>
        <w:tc>
          <w:tcPr>
            <w:tcW w:w="180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18" w:hRule="auto"/>
          <w:jc w:val="left"/>
        </w:trPr>
        <w:tc>
          <w:tcPr>
            <w:tcW w:w="1800" w:type="dxa"/>
            <w:tcBorders>
              <w:top w:val="single" w:color="000000" w:sz="0"/>
              <w:left w:val="single" w:color="000000" w:sz="8"/>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815" w:hRule="auto"/>
          <w:jc w:val="left"/>
        </w:trPr>
        <w:tc>
          <w:tcPr>
            <w:tcW w:w="180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2.11. </w:t>
            </w:r>
            <w:r>
              <w:rPr>
                <w:rFonts w:ascii="Times New Roman" w:hAnsi="Times New Roman" w:cs="Times New Roman" w:eastAsia="Times New Roman"/>
                <w:color w:val="auto"/>
                <w:spacing w:val="0"/>
                <w:position w:val="0"/>
                <w:sz w:val="22"/>
                <w:shd w:fill="auto" w:val="clear"/>
              </w:rPr>
              <w:t xml:space="preserve">Извештај о</w:t>
            </w:r>
          </w:p>
        </w:tc>
        <w:tc>
          <w:tcPr>
            <w:tcW w:w="16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3-6 </w:t>
            </w:r>
            <w:r>
              <w:rPr>
                <w:rFonts w:ascii="Times New Roman" w:hAnsi="Times New Roman" w:cs="Times New Roman" w:eastAsia="Times New Roman"/>
                <w:color w:val="auto"/>
                <w:spacing w:val="0"/>
                <w:position w:val="0"/>
                <w:sz w:val="22"/>
                <w:shd w:fill="auto" w:val="clear"/>
              </w:rPr>
              <w:t xml:space="preserve">месеци од дана</w:t>
            </w: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Повереник,</w:t>
            </w: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08" w:hRule="auto"/>
          <w:jc w:val="left"/>
        </w:trPr>
        <w:tc>
          <w:tcPr>
            <w:tcW w:w="180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реализацији</w:t>
            </w:r>
          </w:p>
        </w:tc>
        <w:tc>
          <w:tcPr>
            <w:tcW w:w="16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Комисија за</w:t>
            </w:r>
          </w:p>
        </w:tc>
        <w:tc>
          <w:tcPr>
            <w:tcW w:w="11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32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КИРС</w:t>
            </w:r>
          </w:p>
        </w:tc>
      </w:tr>
      <w:tr>
        <w:trPr>
          <w:trHeight w:val="113" w:hRule="auto"/>
          <w:jc w:val="left"/>
        </w:trPr>
        <w:tc>
          <w:tcPr>
            <w:tcW w:w="180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испоруке</w:t>
            </w: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94" w:hRule="auto"/>
          <w:jc w:val="left"/>
        </w:trPr>
        <w:tc>
          <w:tcPr>
            <w:tcW w:w="180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програма</w:t>
            </w:r>
          </w:p>
        </w:tc>
        <w:tc>
          <w:tcPr>
            <w:tcW w:w="16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избор корисника</w:t>
            </w: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03" w:hRule="auto"/>
          <w:jc w:val="left"/>
        </w:trPr>
        <w:tc>
          <w:tcPr>
            <w:tcW w:w="180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4" w:hRule="auto"/>
          <w:jc w:val="left"/>
        </w:trPr>
        <w:tc>
          <w:tcPr>
            <w:tcW w:w="1800" w:type="dxa"/>
            <w:vMerge/>
            <w:tcBorders>
              <w:top w:val="single" w:color="000000" w:sz="0"/>
              <w:left w:val="single" w:color="000000" w:sz="8"/>
              <w:bottom w:val="single" w:color="000000" w:sz="4"/>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0"/>
              <w:left w:val="single" w:color="000000" w:sz="0"/>
              <w:bottom w:val="single" w:color="000000" w:sz="4"/>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0" w:type="dxa"/>
            <w:tcBorders>
              <w:top w:val="single" w:color="000000" w:sz="0"/>
              <w:left w:val="single" w:color="000000" w:sz="0"/>
              <w:bottom w:val="single" w:color="000000" w:sz="4"/>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4"/>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4"/>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60" w:type="dxa"/>
            <w:tcBorders>
              <w:top w:val="single" w:color="000000" w:sz="0"/>
              <w:left w:val="single" w:color="000000" w:sz="0"/>
              <w:bottom w:val="single" w:color="000000" w:sz="4"/>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4"/>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60" w:type="dxa"/>
            <w:tcBorders>
              <w:top w:val="single" w:color="000000" w:sz="0"/>
              <w:left w:val="single" w:color="000000" w:sz="0"/>
              <w:bottom w:val="single" w:color="000000" w:sz="4"/>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10886" w:dyaOrig="12596">
          <v:rect xmlns:o="urn:schemas-microsoft-com:office:office" xmlns:v="urn:schemas-microsoft-com:vml" id="rectole0000000004" style="width:544.300000pt;height:629.8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4680" w:firstLine="0"/>
        <w:jc w:val="left"/>
        <w:rPr>
          <w:rFonts w:ascii="Times New Roman" w:hAnsi="Times New Roman" w:cs="Times New Roman" w:eastAsia="Times New Roman"/>
          <w:b/>
          <w:i/>
          <w:color w:val="auto"/>
          <w:spacing w:val="0"/>
          <w:position w:val="0"/>
          <w:sz w:val="22"/>
          <w:shd w:fill="auto" w:val="clear"/>
        </w:rPr>
      </w:pPr>
      <w:r>
        <w:rPr>
          <w:rFonts w:ascii="Times New Roman" w:hAnsi="Times New Roman" w:cs="Times New Roman" w:eastAsia="Times New Roman"/>
          <w:b/>
          <w:i/>
          <w:color w:val="auto"/>
          <w:spacing w:val="0"/>
          <w:position w:val="0"/>
          <w:sz w:val="22"/>
          <w:shd w:fill="auto" w:val="clear"/>
        </w:rPr>
        <w:t xml:space="preserve">Специфични циљ 3</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18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У периоду од 2024. до краја 2028. године пружити подршку за најмање три породице избеглих, интерно расељених лица и повратника</w:t>
      </w:r>
    </w:p>
    <w:p>
      <w:pPr>
        <w:spacing w:before="0" w:after="0" w:line="240"/>
        <w:ind w:right="2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за набавку и доделу робе и материјала за покретање, развој и унапређење доходовних активности у пољопривредној, занатској, услужној или другој области</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tbl>
      <w:tblPr/>
      <w:tblGrid>
        <w:gridCol w:w="1820"/>
        <w:gridCol w:w="1640"/>
        <w:gridCol w:w="1560"/>
        <w:gridCol w:w="1720"/>
        <w:gridCol w:w="960"/>
        <w:gridCol w:w="1020"/>
        <w:gridCol w:w="1460"/>
        <w:gridCol w:w="1140"/>
        <w:gridCol w:w="1262"/>
      </w:tblGrid>
      <w:tr>
        <w:trPr>
          <w:trHeight w:val="256" w:hRule="auto"/>
          <w:jc w:val="left"/>
        </w:trPr>
        <w:tc>
          <w:tcPr>
            <w:tcW w:w="1820" w:type="dxa"/>
            <w:tcBorders>
              <w:top w:val="single" w:color="000000" w:sz="0"/>
              <w:left w:val="single" w:color="000000" w:sz="0"/>
              <w:bottom w:val="single" w:color="000000" w:sz="8"/>
              <w:right w:val="single" w:color="eeece1" w:sz="8"/>
            </w:tcBorders>
            <w:shd w:color="auto" w:fill="eeece1"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eeece1" w:sz="8"/>
            </w:tcBorders>
            <w:shd w:color="auto" w:fill="eeece1"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eeece1" w:sz="8"/>
            </w:tcBorders>
            <w:shd w:color="auto" w:fill="eeece1"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8"/>
              <w:right w:val="single" w:color="eeece1" w:sz="8"/>
            </w:tcBorders>
            <w:shd w:color="auto" w:fill="eeece1"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eeece1" w:sz="8"/>
            </w:tcBorders>
            <w:shd w:color="auto" w:fill="eeece1"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8"/>
              <w:right w:val="single" w:color="eeece1" w:sz="8"/>
            </w:tcBorders>
            <w:shd w:color="auto" w:fill="eeece1"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8"/>
              <w:right w:val="single" w:color="eeece1" w:sz="8"/>
            </w:tcBorders>
            <w:shd w:color="auto" w:fill="eeece1"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8"/>
              <w:right w:val="single" w:color="000000" w:sz="0"/>
            </w:tcBorders>
            <w:shd w:color="auto" w:fill="eeece1"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33"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80" w:type="dxa"/>
            <w:gridSpan w:val="2"/>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580" w:firstLine="0"/>
              <w:jc w:val="lef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Потребни</w:t>
            </w: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6"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80" w:type="dxa"/>
            <w:gridSpan w:val="2"/>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720" w:firstLine="0"/>
              <w:jc w:val="lef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ресурси</w:t>
            </w: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23"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380" w:firstLine="0"/>
              <w:jc w:val="lef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Планирано</w:t>
            </w: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2"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Буџет</w:t>
            </w: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2" w:type="dxa"/>
            <w:gridSpan w:val="2"/>
            <w:vMerge w:val="restart"/>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Партнери</w:t>
            </w:r>
          </w:p>
        </w:tc>
      </w:tr>
      <w:tr>
        <w:trPr>
          <w:trHeight w:val="55"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време</w:t>
            </w: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Носилац</w:t>
            </w:r>
          </w:p>
        </w:tc>
        <w:tc>
          <w:tcPr>
            <w:tcW w:w="2402" w:type="dxa"/>
            <w:gridSpan w:val="2"/>
            <w:vMerge/>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50"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Очекивани</w:t>
            </w: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ЛС</w:t>
            </w: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402" w:type="dxa"/>
            <w:gridSpan w:val="2"/>
            <w:vMerge/>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106"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402" w:type="dxa"/>
            <w:gridSpan w:val="2"/>
            <w:vMerge w:val="restart"/>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2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у</w:t>
            </w:r>
          </w:p>
        </w:tc>
      </w:tr>
      <w:tr>
        <w:trPr>
          <w:trHeight w:val="199" w:hRule="auto"/>
          <w:jc w:val="left"/>
        </w:trPr>
        <w:tc>
          <w:tcPr>
            <w:tcW w:w="18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21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Активности</w:t>
            </w:r>
          </w:p>
        </w:tc>
        <w:tc>
          <w:tcPr>
            <w:tcW w:w="16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реализације</w:t>
            </w: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21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Индикатори</w:t>
            </w:r>
          </w:p>
        </w:tc>
        <w:tc>
          <w:tcPr>
            <w:tcW w:w="9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Остали</w:t>
            </w:r>
          </w:p>
        </w:tc>
        <w:tc>
          <w:tcPr>
            <w:tcW w:w="14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активности</w:t>
            </w:r>
          </w:p>
        </w:tc>
        <w:tc>
          <w:tcPr>
            <w:tcW w:w="2402" w:type="dxa"/>
            <w:gridSpan w:val="2"/>
            <w:vMerge/>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230" w:hRule="auto"/>
          <w:jc w:val="left"/>
        </w:trPr>
        <w:tc>
          <w:tcPr>
            <w:tcW w:w="18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резултати</w:t>
            </w:r>
          </w:p>
        </w:tc>
        <w:tc>
          <w:tcPr>
            <w:tcW w:w="17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оста ли</w:t>
            </w:r>
          </w:p>
        </w:tc>
        <w:tc>
          <w:tcPr>
            <w:tcW w:w="10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402" w:type="dxa"/>
            <w:gridSpan w:val="2"/>
            <w:vMerge w:val="restart"/>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2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реализаији</w:t>
            </w:r>
          </w:p>
        </w:tc>
      </w:tr>
      <w:tr>
        <w:trPr>
          <w:trHeight w:val="68"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активности</w:t>
            </w: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2" w:type="dxa"/>
            <w:gridSpan w:val="2"/>
            <w:vMerge/>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199"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локални</w:t>
            </w: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извори</w:t>
            </w: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33"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ресурси</w:t>
            </w: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40" w:hRule="auto"/>
          <w:jc w:val="left"/>
        </w:trPr>
        <w:tc>
          <w:tcPr>
            <w:tcW w:w="18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60"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2.1.</w:t>
            </w: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38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Формирана</w:t>
            </w: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37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Одлука о</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19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Локална</w:t>
            </w: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2"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Формирање</w:t>
            </w:r>
          </w:p>
        </w:tc>
        <w:tc>
          <w:tcPr>
            <w:tcW w:w="16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15 </w:t>
            </w:r>
            <w:r>
              <w:rPr>
                <w:rFonts w:ascii="Times New Roman" w:hAnsi="Times New Roman" w:cs="Times New Roman" w:eastAsia="Times New Roman"/>
                <w:color w:val="auto"/>
                <w:spacing w:val="0"/>
                <w:position w:val="0"/>
                <w:sz w:val="22"/>
                <w:shd w:fill="auto" w:val="clear"/>
              </w:rPr>
              <w:t xml:space="preserve">дана</w:t>
            </w: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формирању</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34" w:hRule="auto"/>
          <w:jc w:val="left"/>
        </w:trPr>
        <w:tc>
          <w:tcPr>
            <w:tcW w:w="18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Комисије</w:t>
            </w:r>
          </w:p>
        </w:tc>
        <w:tc>
          <w:tcPr>
            <w:tcW w:w="16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54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комисија</w:t>
            </w:r>
          </w:p>
        </w:tc>
        <w:tc>
          <w:tcPr>
            <w:tcW w:w="17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27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Комисије</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15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самоуправа</w:t>
            </w: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62" w:hRule="auto"/>
          <w:jc w:val="left"/>
        </w:trPr>
        <w:tc>
          <w:tcPr>
            <w:tcW w:w="18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91" w:hRule="auto"/>
          <w:jc w:val="left"/>
        </w:trPr>
        <w:tc>
          <w:tcPr>
            <w:tcW w:w="18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6" w:hRule="auto"/>
          <w:jc w:val="left"/>
        </w:trPr>
        <w:tc>
          <w:tcPr>
            <w:tcW w:w="18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81"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19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2.2 </w:t>
            </w:r>
            <w:r>
              <w:rPr>
                <w:rFonts w:ascii="Times New Roman" w:hAnsi="Times New Roman" w:cs="Times New Roman" w:eastAsia="Times New Roman"/>
                <w:color w:val="auto"/>
                <w:spacing w:val="0"/>
                <w:position w:val="0"/>
                <w:sz w:val="22"/>
                <w:shd w:fill="auto" w:val="clear"/>
              </w:rPr>
              <w:t xml:space="preserve">Доношење</w:t>
            </w: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9"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19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правилника и</w:t>
            </w: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Донесен</w:t>
            </w: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22" w:hRule="auto"/>
          <w:jc w:val="left"/>
        </w:trPr>
        <w:tc>
          <w:tcPr>
            <w:tcW w:w="18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израда критеријума</w:t>
            </w: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91" w:hRule="auto"/>
          <w:jc w:val="left"/>
        </w:trPr>
        <w:tc>
          <w:tcPr>
            <w:tcW w:w="18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правилник,</w:t>
            </w:r>
          </w:p>
        </w:tc>
        <w:tc>
          <w:tcPr>
            <w:tcW w:w="17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Правилник и</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Комисија за</w:t>
            </w: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22" w:hRule="auto"/>
          <w:jc w:val="left"/>
        </w:trPr>
        <w:tc>
          <w:tcPr>
            <w:tcW w:w="18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за одабир</w:t>
            </w: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Људски</w:t>
            </w: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01" w:hRule="auto"/>
          <w:jc w:val="left"/>
        </w:trPr>
        <w:tc>
          <w:tcPr>
            <w:tcW w:w="18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израђени</w:t>
            </w:r>
          </w:p>
        </w:tc>
        <w:tc>
          <w:tcPr>
            <w:tcW w:w="17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критеријуми</w:t>
            </w:r>
          </w:p>
        </w:tc>
        <w:tc>
          <w:tcPr>
            <w:tcW w:w="9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избор</w:t>
            </w: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08" w:hRule="auto"/>
          <w:jc w:val="left"/>
        </w:trPr>
        <w:tc>
          <w:tcPr>
            <w:tcW w:w="18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приоритетних</w:t>
            </w:r>
          </w:p>
        </w:tc>
        <w:tc>
          <w:tcPr>
            <w:tcW w:w="16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7 </w:t>
            </w:r>
            <w:r>
              <w:rPr>
                <w:rFonts w:ascii="Times New Roman" w:hAnsi="Times New Roman" w:cs="Times New Roman" w:eastAsia="Times New Roman"/>
                <w:color w:val="auto"/>
                <w:spacing w:val="0"/>
                <w:position w:val="0"/>
                <w:sz w:val="22"/>
                <w:shd w:fill="auto" w:val="clear"/>
              </w:rPr>
              <w:t xml:space="preserve">дана</w:t>
            </w: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ресурси</w:t>
            </w: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402" w:type="dxa"/>
            <w:gridSpan w:val="2"/>
            <w:vMerge w:val="restart"/>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52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КИРС</w:t>
            </w:r>
          </w:p>
        </w:tc>
      </w:tr>
      <w:tr>
        <w:trPr>
          <w:trHeight w:val="101" w:hRule="auto"/>
          <w:jc w:val="left"/>
        </w:trPr>
        <w:tc>
          <w:tcPr>
            <w:tcW w:w="18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критеријуми</w:t>
            </w: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корисника</w:t>
            </w:r>
          </w:p>
        </w:tc>
        <w:tc>
          <w:tcPr>
            <w:tcW w:w="2402" w:type="dxa"/>
            <w:gridSpan w:val="2"/>
            <w:vMerge/>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110" w:hRule="auto"/>
          <w:jc w:val="left"/>
        </w:trPr>
        <w:tc>
          <w:tcPr>
            <w:tcW w:w="18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породица</w:t>
            </w: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18" w:hRule="auto"/>
          <w:jc w:val="left"/>
        </w:trPr>
        <w:tc>
          <w:tcPr>
            <w:tcW w:w="18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3" w:hRule="auto"/>
          <w:jc w:val="left"/>
        </w:trPr>
        <w:tc>
          <w:tcPr>
            <w:tcW w:w="18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12" w:hRule="auto"/>
          <w:jc w:val="left"/>
        </w:trPr>
        <w:tc>
          <w:tcPr>
            <w:tcW w:w="18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2.3.</w:t>
            </w: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Објава из</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Комисија за</w:t>
            </w: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9" w:hRule="auto"/>
          <w:jc w:val="left"/>
        </w:trPr>
        <w:tc>
          <w:tcPr>
            <w:tcW w:w="18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64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Оглас</w:t>
            </w:r>
          </w:p>
        </w:tc>
        <w:tc>
          <w:tcPr>
            <w:tcW w:w="17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избор</w:t>
            </w: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32" w:hRule="auto"/>
          <w:jc w:val="left"/>
        </w:trPr>
        <w:tc>
          <w:tcPr>
            <w:tcW w:w="18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Расписивање огласа</w:t>
            </w:r>
          </w:p>
        </w:tc>
        <w:tc>
          <w:tcPr>
            <w:tcW w:w="16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 </w:t>
            </w:r>
            <w:r>
              <w:rPr>
                <w:rFonts w:ascii="Times New Roman" w:hAnsi="Times New Roman" w:cs="Times New Roman" w:eastAsia="Times New Roman"/>
                <w:color w:val="auto"/>
                <w:spacing w:val="0"/>
                <w:position w:val="0"/>
                <w:sz w:val="22"/>
                <w:shd w:fill="auto" w:val="clear"/>
              </w:rPr>
              <w:t xml:space="preserve">недеље</w:t>
            </w: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средстава јавног</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7" w:hRule="auto"/>
          <w:jc w:val="left"/>
        </w:trPr>
        <w:tc>
          <w:tcPr>
            <w:tcW w:w="18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објављен</w:t>
            </w:r>
          </w:p>
        </w:tc>
        <w:tc>
          <w:tcPr>
            <w:tcW w:w="17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корисника</w:t>
            </w: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32"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информисања</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65"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66" w:hRule="auto"/>
          <w:jc w:val="left"/>
        </w:trPr>
        <w:tc>
          <w:tcPr>
            <w:tcW w:w="18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20"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25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2.4. </w:t>
            </w:r>
            <w:r>
              <w:rPr>
                <w:rFonts w:ascii="Times New Roman" w:hAnsi="Times New Roman" w:cs="Times New Roman" w:eastAsia="Times New Roman"/>
                <w:color w:val="auto"/>
                <w:spacing w:val="0"/>
                <w:position w:val="0"/>
                <w:sz w:val="22"/>
                <w:shd w:fill="auto" w:val="clear"/>
              </w:rPr>
              <w:t xml:space="preserve">Избор</w:t>
            </w: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Утврђена и</w:t>
            </w: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Комисија за</w:t>
            </w: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34" w:hRule="auto"/>
          <w:jc w:val="left"/>
        </w:trPr>
        <w:tc>
          <w:tcPr>
            <w:tcW w:w="18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корисника и израда</w:t>
            </w: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објављена</w:t>
            </w:r>
          </w:p>
        </w:tc>
        <w:tc>
          <w:tcPr>
            <w:tcW w:w="17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23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Записници,</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9" w:hRule="auto"/>
          <w:jc w:val="left"/>
        </w:trPr>
        <w:tc>
          <w:tcPr>
            <w:tcW w:w="18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избор</w:t>
            </w: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30" w:hRule="auto"/>
          <w:jc w:val="left"/>
        </w:trPr>
        <w:tc>
          <w:tcPr>
            <w:tcW w:w="18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прелиминарне листе</w:t>
            </w:r>
          </w:p>
        </w:tc>
        <w:tc>
          <w:tcPr>
            <w:tcW w:w="16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15 </w:t>
            </w:r>
            <w:r>
              <w:rPr>
                <w:rFonts w:ascii="Times New Roman" w:hAnsi="Times New Roman" w:cs="Times New Roman" w:eastAsia="Times New Roman"/>
                <w:color w:val="auto"/>
                <w:spacing w:val="0"/>
                <w:position w:val="0"/>
                <w:sz w:val="22"/>
                <w:shd w:fill="auto" w:val="clear"/>
              </w:rPr>
              <w:t xml:space="preserve">дана</w:t>
            </w: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прелимина рна</w:t>
            </w:r>
          </w:p>
        </w:tc>
        <w:tc>
          <w:tcPr>
            <w:tcW w:w="17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25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извештаји</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94" w:hRule="auto"/>
          <w:jc w:val="left"/>
        </w:trPr>
        <w:tc>
          <w:tcPr>
            <w:tcW w:w="18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корисника</w:t>
            </w: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17"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листа</w:t>
            </w: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80"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78" w:hRule="auto"/>
          <w:jc w:val="left"/>
        </w:trPr>
        <w:tc>
          <w:tcPr>
            <w:tcW w:w="18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60"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21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2.5. </w:t>
            </w:r>
            <w:r>
              <w:rPr>
                <w:rFonts w:ascii="Times New Roman" w:hAnsi="Times New Roman" w:cs="Times New Roman" w:eastAsia="Times New Roman"/>
                <w:color w:val="auto"/>
                <w:spacing w:val="0"/>
                <w:position w:val="0"/>
                <w:sz w:val="22"/>
                <w:shd w:fill="auto" w:val="clear"/>
              </w:rPr>
              <w:t xml:space="preserve">Израда и</w:t>
            </w: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Утврђена</w:t>
            </w: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Људски</w:t>
            </w: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13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Комисија за</w:t>
            </w: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4"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21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објављивање</w:t>
            </w:r>
          </w:p>
        </w:tc>
        <w:tc>
          <w:tcPr>
            <w:tcW w:w="16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 </w:t>
            </w:r>
            <w:r>
              <w:rPr>
                <w:rFonts w:ascii="Times New Roman" w:hAnsi="Times New Roman" w:cs="Times New Roman" w:eastAsia="Times New Roman"/>
                <w:color w:val="auto"/>
                <w:spacing w:val="0"/>
                <w:position w:val="0"/>
                <w:sz w:val="22"/>
                <w:shd w:fill="auto" w:val="clear"/>
              </w:rPr>
              <w:t xml:space="preserve">дана</w:t>
            </w: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коначна</w:t>
            </w:r>
          </w:p>
        </w:tc>
        <w:tc>
          <w:tcPr>
            <w:tcW w:w="17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27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Записник</w:t>
            </w:r>
          </w:p>
        </w:tc>
        <w:tc>
          <w:tcPr>
            <w:tcW w:w="9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21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избор</w:t>
            </w:r>
          </w:p>
        </w:tc>
        <w:tc>
          <w:tcPr>
            <w:tcW w:w="2402" w:type="dxa"/>
            <w:gridSpan w:val="2"/>
            <w:vMerge w:val="restart"/>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52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КИРС</w:t>
            </w:r>
          </w:p>
        </w:tc>
      </w:tr>
      <w:tr>
        <w:trPr>
          <w:trHeight w:val="132" w:hRule="auto"/>
          <w:jc w:val="left"/>
        </w:trPr>
        <w:tc>
          <w:tcPr>
            <w:tcW w:w="18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21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коначне листе</w:t>
            </w:r>
          </w:p>
        </w:tc>
        <w:tc>
          <w:tcPr>
            <w:tcW w:w="16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листа</w:t>
            </w:r>
          </w:p>
        </w:tc>
        <w:tc>
          <w:tcPr>
            <w:tcW w:w="17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ресурси</w:t>
            </w: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15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корисника</w:t>
            </w:r>
          </w:p>
        </w:tc>
        <w:tc>
          <w:tcPr>
            <w:tcW w:w="2402" w:type="dxa"/>
            <w:gridSpan w:val="2"/>
            <w:vMerge/>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65" w:hRule="auto"/>
          <w:jc w:val="left"/>
        </w:trPr>
        <w:tc>
          <w:tcPr>
            <w:tcW w:w="18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5" w:hRule="auto"/>
          <w:jc w:val="left"/>
        </w:trPr>
        <w:tc>
          <w:tcPr>
            <w:tcW w:w="18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80" w:hRule="auto"/>
          <w:jc w:val="left"/>
        </w:trPr>
        <w:tc>
          <w:tcPr>
            <w:tcW w:w="18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686"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2.6.</w:t>
            </w: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Тендер</w:t>
            </w: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9"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Расписивање</w:t>
            </w: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расписан и</w:t>
            </w: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Комисија за</w:t>
            </w: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32" w:hRule="auto"/>
          <w:jc w:val="left"/>
        </w:trPr>
        <w:tc>
          <w:tcPr>
            <w:tcW w:w="18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тендера и одабир</w:t>
            </w: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одабран</w:t>
            </w:r>
          </w:p>
        </w:tc>
        <w:tc>
          <w:tcPr>
            <w:tcW w:w="17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Пристигле понуде</w:t>
            </w:r>
          </w:p>
        </w:tc>
        <w:tc>
          <w:tcPr>
            <w:tcW w:w="9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Људски</w:t>
            </w: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9" w:hRule="auto"/>
          <w:jc w:val="left"/>
        </w:trPr>
        <w:tc>
          <w:tcPr>
            <w:tcW w:w="18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избор</w:t>
            </w: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30" w:hRule="auto"/>
          <w:jc w:val="left"/>
        </w:trPr>
        <w:tc>
          <w:tcPr>
            <w:tcW w:w="18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најбољег</w:t>
            </w:r>
          </w:p>
        </w:tc>
        <w:tc>
          <w:tcPr>
            <w:tcW w:w="16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 </w:t>
            </w:r>
            <w:r>
              <w:rPr>
                <w:rFonts w:ascii="Times New Roman" w:hAnsi="Times New Roman" w:cs="Times New Roman" w:eastAsia="Times New Roman"/>
                <w:color w:val="auto"/>
                <w:spacing w:val="0"/>
                <w:position w:val="0"/>
                <w:sz w:val="22"/>
                <w:shd w:fill="auto" w:val="clear"/>
              </w:rPr>
              <w:t xml:space="preserve">недеља</w:t>
            </w: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најбољи</w:t>
            </w: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ресурси</w:t>
            </w: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82" w:hRule="auto"/>
          <w:jc w:val="left"/>
        </w:trPr>
        <w:tc>
          <w:tcPr>
            <w:tcW w:w="18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корисника</w:t>
            </w: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27" w:hRule="auto"/>
          <w:jc w:val="left"/>
        </w:trPr>
        <w:tc>
          <w:tcPr>
            <w:tcW w:w="18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добављача</w:t>
            </w: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понуђач</w:t>
            </w: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08" w:hRule="auto"/>
          <w:jc w:val="left"/>
        </w:trPr>
        <w:tc>
          <w:tcPr>
            <w:tcW w:w="18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7" w:hRule="auto"/>
          <w:jc w:val="left"/>
        </w:trPr>
        <w:tc>
          <w:tcPr>
            <w:tcW w:w="18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644"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1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2.7.</w:t>
            </w: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9"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1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Потписивање уговора</w:t>
            </w:r>
          </w:p>
        </w:tc>
        <w:tc>
          <w:tcPr>
            <w:tcW w:w="16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 </w:t>
            </w:r>
            <w:r>
              <w:rPr>
                <w:rFonts w:ascii="Times New Roman" w:hAnsi="Times New Roman" w:cs="Times New Roman" w:eastAsia="Times New Roman"/>
                <w:color w:val="auto"/>
                <w:spacing w:val="0"/>
                <w:position w:val="0"/>
                <w:sz w:val="22"/>
                <w:shd w:fill="auto" w:val="clear"/>
              </w:rPr>
              <w:t xml:space="preserve">дана</w:t>
            </w: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Потписан уговор</w:t>
            </w:r>
          </w:p>
        </w:tc>
        <w:tc>
          <w:tcPr>
            <w:tcW w:w="17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Уговор</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Комисија за избор</w:t>
            </w: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0" w:hRule="auto"/>
          <w:jc w:val="left"/>
        </w:trPr>
        <w:tc>
          <w:tcPr>
            <w:tcW w:w="18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1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са</w:t>
            </w:r>
          </w:p>
        </w:tc>
        <w:tc>
          <w:tcPr>
            <w:tcW w:w="16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39" w:hRule="auto"/>
          <w:jc w:val="left"/>
        </w:trPr>
        <w:tc>
          <w:tcPr>
            <w:tcW w:w="18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корисника</w:t>
            </w: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67"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6" w:hRule="auto"/>
          <w:jc w:val="left"/>
        </w:trPr>
        <w:tc>
          <w:tcPr>
            <w:tcW w:w="18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добављачем</w:t>
            </w: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62" w:hRule="auto"/>
          <w:jc w:val="left"/>
        </w:trPr>
        <w:tc>
          <w:tcPr>
            <w:tcW w:w="18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62" w:type="dxa"/>
            <w:tcBorders>
              <w:top w:val="single" w:color="000000" w:sz="0"/>
              <w:left w:val="single" w:color="000000" w:sz="0"/>
              <w:bottom w:val="single" w:color="000000" w:sz="8"/>
              <w:right w:val="single" w:color="000000" w:sz="0"/>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51" w:hRule="auto"/>
          <w:jc w:val="left"/>
        </w:trPr>
        <w:tc>
          <w:tcPr>
            <w:tcW w:w="1820" w:type="dxa"/>
            <w:tcBorders>
              <w:top w:val="single" w:color="000000" w:sz="8"/>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1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2.8.</w:t>
            </w:r>
          </w:p>
        </w:tc>
        <w:tc>
          <w:tcPr>
            <w:tcW w:w="1640" w:type="dxa"/>
            <w:tcBorders>
              <w:top w:val="single" w:color="000000" w:sz="8"/>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8"/>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8"/>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8"/>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8"/>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8"/>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2" w:type="dxa"/>
            <w:gridSpan w:val="2"/>
            <w:tcBorders>
              <w:top w:val="single" w:color="000000" w:sz="8"/>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21" w:hRule="auto"/>
          <w:jc w:val="left"/>
        </w:trPr>
        <w:tc>
          <w:tcPr>
            <w:tcW w:w="182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1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Потписивање</w:t>
            </w:r>
          </w:p>
        </w:tc>
        <w:tc>
          <w:tcPr>
            <w:tcW w:w="16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 </w:t>
            </w:r>
            <w:r>
              <w:rPr>
                <w:rFonts w:ascii="Times New Roman" w:hAnsi="Times New Roman" w:cs="Times New Roman" w:eastAsia="Times New Roman"/>
                <w:color w:val="auto"/>
                <w:spacing w:val="0"/>
                <w:position w:val="0"/>
                <w:sz w:val="18"/>
                <w:shd w:fill="auto" w:val="clear"/>
              </w:rPr>
              <w:t xml:space="preserve">дана</w:t>
            </w: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2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Потписани уговори</w:t>
            </w:r>
          </w:p>
        </w:tc>
        <w:tc>
          <w:tcPr>
            <w:tcW w:w="17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Садржај уговора</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2" w:type="dxa"/>
            <w:gridSpan w:val="2"/>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4" w:hRule="auto"/>
          <w:jc w:val="left"/>
        </w:trPr>
        <w:tc>
          <w:tcPr>
            <w:tcW w:w="182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1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уговора са</w:t>
            </w:r>
          </w:p>
        </w:tc>
        <w:tc>
          <w:tcPr>
            <w:tcW w:w="16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2" w:type="dxa"/>
            <w:gridSpan w:val="2"/>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34" w:hRule="auto"/>
          <w:jc w:val="left"/>
        </w:trPr>
        <w:tc>
          <w:tcPr>
            <w:tcW w:w="182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2" w:type="dxa"/>
            <w:gridSpan w:val="2"/>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6" w:hRule="auto"/>
          <w:jc w:val="left"/>
        </w:trPr>
        <w:tc>
          <w:tcPr>
            <w:tcW w:w="182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корисницима</w:t>
            </w: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2" w:type="dxa"/>
            <w:gridSpan w:val="2"/>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00" w:hRule="auto"/>
          <w:jc w:val="left"/>
        </w:trPr>
        <w:tc>
          <w:tcPr>
            <w:tcW w:w="1820" w:type="dxa"/>
            <w:tcBorders>
              <w:top w:val="single" w:color="000000" w:sz="0"/>
              <w:left w:val="single" w:color="000000" w:sz="8"/>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2" w:type="dxa"/>
            <w:gridSpan w:val="2"/>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12" w:hRule="auto"/>
          <w:jc w:val="left"/>
        </w:trPr>
        <w:tc>
          <w:tcPr>
            <w:tcW w:w="182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2.9. </w:t>
            </w:r>
            <w:r>
              <w:rPr>
                <w:rFonts w:ascii="Times New Roman" w:hAnsi="Times New Roman" w:cs="Times New Roman" w:eastAsia="Times New Roman"/>
                <w:color w:val="auto"/>
                <w:spacing w:val="0"/>
                <w:position w:val="0"/>
                <w:sz w:val="18"/>
                <w:shd w:fill="auto" w:val="clear"/>
              </w:rPr>
              <w:t xml:space="preserve">Испорука</w:t>
            </w: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Повереник</w:t>
            </w:r>
          </w:p>
        </w:tc>
        <w:tc>
          <w:tcPr>
            <w:tcW w:w="2402" w:type="dxa"/>
            <w:gridSpan w:val="2"/>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67" w:hRule="auto"/>
          <w:jc w:val="left"/>
        </w:trPr>
        <w:tc>
          <w:tcPr>
            <w:tcW w:w="182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Отпремница,</w:t>
            </w:r>
          </w:p>
        </w:tc>
        <w:tc>
          <w:tcPr>
            <w:tcW w:w="9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Људски</w:t>
            </w: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Комисија за</w:t>
            </w:r>
          </w:p>
        </w:tc>
        <w:tc>
          <w:tcPr>
            <w:tcW w:w="2402" w:type="dxa"/>
            <w:gridSpan w:val="2"/>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82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набављеног</w:t>
            </w:r>
          </w:p>
        </w:tc>
        <w:tc>
          <w:tcPr>
            <w:tcW w:w="16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30 </w:t>
            </w:r>
            <w:r>
              <w:rPr>
                <w:rFonts w:ascii="Times New Roman" w:hAnsi="Times New Roman" w:cs="Times New Roman" w:eastAsia="Times New Roman"/>
                <w:color w:val="auto"/>
                <w:spacing w:val="0"/>
                <w:position w:val="0"/>
                <w:sz w:val="18"/>
                <w:shd w:fill="auto" w:val="clear"/>
              </w:rPr>
              <w:t xml:space="preserve">дана</w:t>
            </w: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Подељена помоћ</w:t>
            </w:r>
          </w:p>
        </w:tc>
        <w:tc>
          <w:tcPr>
            <w:tcW w:w="17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402" w:type="dxa"/>
            <w:gridSpan w:val="2"/>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34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КИРС</w:t>
            </w:r>
          </w:p>
        </w:tc>
      </w:tr>
      <w:tr>
        <w:trPr>
          <w:trHeight w:val="120" w:hRule="auto"/>
          <w:jc w:val="left"/>
        </w:trPr>
        <w:tc>
          <w:tcPr>
            <w:tcW w:w="182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фотографије</w:t>
            </w:r>
          </w:p>
        </w:tc>
        <w:tc>
          <w:tcPr>
            <w:tcW w:w="9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ресурси</w:t>
            </w: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избор</w:t>
            </w:r>
          </w:p>
        </w:tc>
        <w:tc>
          <w:tcPr>
            <w:tcW w:w="2402" w:type="dxa"/>
            <w:gridSpan w:val="2"/>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86" w:hRule="auto"/>
          <w:jc w:val="left"/>
        </w:trPr>
        <w:tc>
          <w:tcPr>
            <w:tcW w:w="182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материјала и опреме</w:t>
            </w: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402" w:type="dxa"/>
            <w:gridSpan w:val="2"/>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11" w:hRule="auto"/>
          <w:jc w:val="left"/>
        </w:trPr>
        <w:tc>
          <w:tcPr>
            <w:tcW w:w="182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корисника,</w:t>
            </w:r>
          </w:p>
        </w:tc>
        <w:tc>
          <w:tcPr>
            <w:tcW w:w="2402" w:type="dxa"/>
            <w:gridSpan w:val="2"/>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29" w:hRule="auto"/>
          <w:jc w:val="left"/>
        </w:trPr>
        <w:tc>
          <w:tcPr>
            <w:tcW w:w="1820" w:type="dxa"/>
            <w:tcBorders>
              <w:top w:val="single" w:color="000000" w:sz="0"/>
              <w:left w:val="single" w:color="000000" w:sz="8"/>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2" w:type="dxa"/>
            <w:gridSpan w:val="2"/>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09" w:hRule="auto"/>
          <w:jc w:val="left"/>
        </w:trPr>
        <w:tc>
          <w:tcPr>
            <w:tcW w:w="182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1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2.10. </w:t>
            </w:r>
            <w:r>
              <w:rPr>
                <w:rFonts w:ascii="Times New Roman" w:hAnsi="Times New Roman" w:cs="Times New Roman" w:eastAsia="Times New Roman"/>
                <w:color w:val="auto"/>
                <w:spacing w:val="0"/>
                <w:position w:val="0"/>
                <w:sz w:val="18"/>
                <w:shd w:fill="auto" w:val="clear"/>
              </w:rPr>
              <w:t xml:space="preserve">Праћење</w:t>
            </w: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Попраћена</w:t>
            </w: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Повереник,</w:t>
            </w:r>
          </w:p>
        </w:tc>
        <w:tc>
          <w:tcPr>
            <w:tcW w:w="2402" w:type="dxa"/>
            <w:gridSpan w:val="2"/>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0" w:hRule="auto"/>
          <w:jc w:val="left"/>
        </w:trPr>
        <w:tc>
          <w:tcPr>
            <w:tcW w:w="182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реализација</w:t>
            </w:r>
          </w:p>
        </w:tc>
        <w:tc>
          <w:tcPr>
            <w:tcW w:w="17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Записници и</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Комисија за</w:t>
            </w:r>
          </w:p>
        </w:tc>
        <w:tc>
          <w:tcPr>
            <w:tcW w:w="2402" w:type="dxa"/>
            <w:gridSpan w:val="2"/>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42" w:hRule="auto"/>
          <w:jc w:val="left"/>
        </w:trPr>
        <w:tc>
          <w:tcPr>
            <w:tcW w:w="182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реализације</w:t>
            </w:r>
          </w:p>
        </w:tc>
        <w:tc>
          <w:tcPr>
            <w:tcW w:w="16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 </w:t>
            </w:r>
            <w:r>
              <w:rPr>
                <w:rFonts w:ascii="Times New Roman" w:hAnsi="Times New Roman" w:cs="Times New Roman" w:eastAsia="Times New Roman"/>
                <w:color w:val="auto"/>
                <w:spacing w:val="0"/>
                <w:position w:val="0"/>
                <w:sz w:val="18"/>
                <w:shd w:fill="auto" w:val="clear"/>
              </w:rPr>
              <w:t xml:space="preserve">месеца</w:t>
            </w: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402" w:type="dxa"/>
            <w:gridSpan w:val="2"/>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34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КИРС</w:t>
            </w:r>
          </w:p>
        </w:tc>
      </w:tr>
      <w:tr>
        <w:trPr>
          <w:trHeight w:val="122" w:hRule="auto"/>
          <w:jc w:val="left"/>
        </w:trPr>
        <w:tc>
          <w:tcPr>
            <w:tcW w:w="182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програма</w:t>
            </w:r>
          </w:p>
        </w:tc>
        <w:tc>
          <w:tcPr>
            <w:tcW w:w="17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фотографије</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избор</w:t>
            </w:r>
          </w:p>
        </w:tc>
        <w:tc>
          <w:tcPr>
            <w:tcW w:w="2402" w:type="dxa"/>
            <w:gridSpan w:val="2"/>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86" w:hRule="auto"/>
          <w:jc w:val="left"/>
        </w:trPr>
        <w:tc>
          <w:tcPr>
            <w:tcW w:w="182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62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програма</w:t>
            </w: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402" w:type="dxa"/>
            <w:gridSpan w:val="2"/>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6" w:hRule="auto"/>
          <w:jc w:val="left"/>
        </w:trPr>
        <w:tc>
          <w:tcPr>
            <w:tcW w:w="182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корисника</w:t>
            </w:r>
          </w:p>
        </w:tc>
        <w:tc>
          <w:tcPr>
            <w:tcW w:w="2402" w:type="dxa"/>
            <w:gridSpan w:val="2"/>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31" w:hRule="auto"/>
          <w:jc w:val="left"/>
        </w:trPr>
        <w:tc>
          <w:tcPr>
            <w:tcW w:w="1820" w:type="dxa"/>
            <w:tcBorders>
              <w:top w:val="single" w:color="000000" w:sz="0"/>
              <w:left w:val="single" w:color="000000" w:sz="8"/>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2" w:type="dxa"/>
            <w:gridSpan w:val="2"/>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09" w:hRule="auto"/>
          <w:jc w:val="left"/>
        </w:trPr>
        <w:tc>
          <w:tcPr>
            <w:tcW w:w="182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Повереник</w:t>
            </w:r>
          </w:p>
        </w:tc>
        <w:tc>
          <w:tcPr>
            <w:tcW w:w="2402" w:type="dxa"/>
            <w:gridSpan w:val="2"/>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14" w:hRule="auto"/>
          <w:jc w:val="left"/>
        </w:trPr>
        <w:tc>
          <w:tcPr>
            <w:tcW w:w="182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2.11. </w:t>
            </w:r>
            <w:r>
              <w:rPr>
                <w:rFonts w:ascii="Times New Roman" w:hAnsi="Times New Roman" w:cs="Times New Roman" w:eastAsia="Times New Roman"/>
                <w:color w:val="auto"/>
                <w:spacing w:val="0"/>
                <w:position w:val="0"/>
                <w:sz w:val="18"/>
                <w:shd w:fill="auto" w:val="clear"/>
              </w:rPr>
              <w:t xml:space="preserve">Извештај о</w:t>
            </w: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3-6 </w:t>
            </w:r>
            <w:r>
              <w:rPr>
                <w:rFonts w:ascii="Times New Roman" w:hAnsi="Times New Roman" w:cs="Times New Roman" w:eastAsia="Times New Roman"/>
                <w:color w:val="auto"/>
                <w:spacing w:val="0"/>
                <w:position w:val="0"/>
                <w:sz w:val="18"/>
                <w:shd w:fill="auto" w:val="clear"/>
              </w:rPr>
              <w:t xml:space="preserve">месеци од дана</w:t>
            </w: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Реализација</w:t>
            </w: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Извештаји,</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Комисија за</w:t>
            </w:r>
          </w:p>
        </w:tc>
        <w:tc>
          <w:tcPr>
            <w:tcW w:w="2402" w:type="dxa"/>
            <w:gridSpan w:val="2"/>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34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КИРС</w:t>
            </w:r>
          </w:p>
        </w:tc>
      </w:tr>
      <w:tr>
        <w:trPr>
          <w:trHeight w:val="103" w:hRule="auto"/>
          <w:jc w:val="left"/>
        </w:trPr>
        <w:tc>
          <w:tcPr>
            <w:tcW w:w="1820" w:type="dxa"/>
            <w:vMerge w:val="restart"/>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1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реализацији програма</w:t>
            </w:r>
          </w:p>
        </w:tc>
        <w:tc>
          <w:tcPr>
            <w:tcW w:w="164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испоруке</w:t>
            </w:r>
          </w:p>
        </w:tc>
        <w:tc>
          <w:tcPr>
            <w:tcW w:w="15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остварена</w:t>
            </w:r>
          </w:p>
        </w:tc>
        <w:tc>
          <w:tcPr>
            <w:tcW w:w="172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фотографије</w:t>
            </w: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val="restart"/>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избор</w:t>
            </w:r>
          </w:p>
        </w:tc>
        <w:tc>
          <w:tcPr>
            <w:tcW w:w="2402" w:type="dxa"/>
            <w:gridSpan w:val="2"/>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r>
      <w:tr>
        <w:trPr>
          <w:trHeight w:val="113" w:hRule="auto"/>
          <w:jc w:val="left"/>
        </w:trPr>
        <w:tc>
          <w:tcPr>
            <w:tcW w:w="1820" w:type="dxa"/>
            <w:vMerge/>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4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2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vMerge/>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402" w:type="dxa"/>
            <w:gridSpan w:val="2"/>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97" w:hRule="auto"/>
          <w:jc w:val="left"/>
        </w:trPr>
        <w:tc>
          <w:tcPr>
            <w:tcW w:w="1820" w:type="dxa"/>
            <w:tcBorders>
              <w:top w:val="single" w:color="000000" w:sz="0"/>
              <w:left w:val="single" w:color="000000" w:sz="8"/>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корисника,</w:t>
            </w:r>
          </w:p>
        </w:tc>
        <w:tc>
          <w:tcPr>
            <w:tcW w:w="2402" w:type="dxa"/>
            <w:gridSpan w:val="2"/>
            <w:tcBorders>
              <w:top w:val="single" w:color="000000" w:sz="0"/>
              <w:left w:val="single" w:color="000000" w:sz="0"/>
              <w:bottom w:val="single" w:color="000000" w:sz="0"/>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31" w:hRule="auto"/>
          <w:jc w:val="left"/>
        </w:trPr>
        <w:tc>
          <w:tcPr>
            <w:tcW w:w="1820" w:type="dxa"/>
            <w:tcBorders>
              <w:top w:val="single" w:color="000000" w:sz="0"/>
              <w:left w:val="single" w:color="000000" w:sz="8"/>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0" w:type="dxa"/>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02" w:type="dxa"/>
            <w:gridSpan w:val="2"/>
            <w:tcBorders>
              <w:top w:val="single" w:color="000000" w:sz="0"/>
              <w:left w:val="single" w:color="000000" w:sz="0"/>
              <w:bottom w:val="single" w:color="000000" w:sz="8"/>
              <w:right w:val="single" w:color="000000" w:sz="8"/>
            </w:tcBorders>
            <w:shd w:color="auto" w:fill="auto"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200" w:left="0" w:firstLine="0"/>
        <w:jc w:val="center"/>
        <w:rPr>
          <w:rFonts w:ascii="Times New Roman" w:hAnsi="Times New Roman" w:cs="Times New Roman" w:eastAsia="Times New Roman"/>
          <w:color w:val="auto"/>
          <w:spacing w:val="0"/>
          <w:position w:val="0"/>
          <w:sz w:val="22"/>
          <w:shd w:fill="auto" w:val="clear"/>
        </w:rPr>
      </w:pPr>
    </w:p>
    <w:p>
      <w:pPr>
        <w:tabs>
          <w:tab w:val="left" w:pos="3460" w:leader="none"/>
        </w:tabs>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7. </w:t>
      </w:r>
      <w:r>
        <w:rPr>
          <w:rFonts w:ascii="Times New Roman" w:hAnsi="Times New Roman" w:cs="Times New Roman" w:eastAsia="Times New Roman"/>
          <w:b/>
          <w:color w:val="auto"/>
          <w:spacing w:val="0"/>
          <w:position w:val="0"/>
          <w:sz w:val="28"/>
          <w:shd w:fill="auto" w:val="clear"/>
        </w:rPr>
        <w:t xml:space="preserve">ФИНАНСИЈСКИ ПЛАН</w:t>
      </w:r>
    </w:p>
    <w:p>
      <w:pPr>
        <w:spacing w:before="0" w:after="0" w:line="273"/>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2"/>
        <w:ind w:right="18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Процењује се да је за реализацију Локалног акционог плана за унапређење положаја избеглих, интерно расељених лица и повратника по основу реадмисије у општини Сента за период 2024. – 2028. године, односно у петогодишњем периоду потребно обезбедити износ од 5.100.000,00 динара. Износ од 510.000,00 динара, што представља 10% од укупне вредности планираних активности ће бити обезбеђен из буџета општине Сента у планираном петогодишњем периоду. Преосталих 90% односно 4.590.000,00 динара ће бити обезбеђено из осталих извора финансирања.</w:t>
      </w:r>
    </w:p>
    <w:p>
      <w:pPr>
        <w:spacing w:before="0" w:after="0" w:line="299"/>
        <w:ind w:right="0" w:left="0" w:firstLine="0"/>
        <w:jc w:val="left"/>
        <w:rPr>
          <w:rFonts w:ascii="Times New Roman" w:hAnsi="Times New Roman" w:cs="Times New Roman" w:eastAsia="Times New Roman"/>
          <w:color w:val="auto"/>
          <w:spacing w:val="0"/>
          <w:position w:val="0"/>
          <w:sz w:val="22"/>
          <w:shd w:fill="FFFF00" w:val="clear"/>
        </w:rPr>
      </w:pPr>
    </w:p>
    <w:p>
      <w:pPr>
        <w:tabs>
          <w:tab w:val="left" w:pos="429"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 реализацији овог ЛАП-а, полазиће се од идентификовања и коришћења свих већ постојећих ресурса у локалној заједници (људских и материјалних), а инсистираће се на већој самоорганизованости у реализацији активности ЛАП-а.</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349"/>
        <w:ind w:right="0" w:left="0" w:firstLine="0"/>
        <w:jc w:val="left"/>
        <w:rPr>
          <w:rFonts w:ascii="Times New Roman" w:hAnsi="Times New Roman" w:cs="Times New Roman" w:eastAsia="Times New Roman"/>
          <w:color w:val="auto"/>
          <w:spacing w:val="0"/>
          <w:position w:val="0"/>
          <w:sz w:val="22"/>
          <w:shd w:fill="auto" w:val="clear"/>
        </w:rPr>
      </w:pPr>
    </w:p>
    <w:p>
      <w:pPr>
        <w:tabs>
          <w:tab w:val="left" w:pos="3080" w:leader="none"/>
        </w:tabs>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8. </w:t>
      </w:r>
      <w:r>
        <w:rPr>
          <w:rFonts w:ascii="Times New Roman" w:hAnsi="Times New Roman" w:cs="Times New Roman" w:eastAsia="Times New Roman"/>
          <w:b/>
          <w:color w:val="auto"/>
          <w:spacing w:val="0"/>
          <w:position w:val="0"/>
          <w:sz w:val="28"/>
          <w:shd w:fill="auto" w:val="clear"/>
        </w:rPr>
        <w:t xml:space="preserve">АРАНЖМАНИ ЗА ПРИМЕНУ</w:t>
      </w:r>
    </w:p>
    <w:p>
      <w:pPr>
        <w:spacing w:before="0" w:after="0" w:line="278"/>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Аранжмани за примену ЛАП-а у општини Сента обухватају локалне сруктуре и различите мере и процедуре које ће осигурати његово успешно спровођење.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Структуру за управљање процесом примене ЛАП-а, након његовог усвајања, представљаће Савет за миграције и трајна решења општине Сента и Повереништво за избеглице општине Сента.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Оперативну структуру за примену овог Локалног акционог плана чиниће институције, организације и тимови (комисије) формирани у циљу непосредне реализације плана и пројеката развијених на основу Локалног акционог плана.</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2500" w:leader="none"/>
        </w:tabs>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9. </w:t>
      </w:r>
      <w:r>
        <w:rPr>
          <w:rFonts w:ascii="Times New Roman" w:hAnsi="Times New Roman" w:cs="Times New Roman" w:eastAsia="Times New Roman"/>
          <w:b/>
          <w:color w:val="auto"/>
          <w:spacing w:val="0"/>
          <w:position w:val="0"/>
          <w:sz w:val="28"/>
          <w:shd w:fill="auto" w:val="clear"/>
        </w:rPr>
        <w:t xml:space="preserve">ПРАЋЕЊЕ И ОЦЕНА УСПЕШНОСТИ</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Циљ праћења и оцене успешности (мониторинга и евалуације) ЛАП-а је да се систематично прикупљају подаци, прати и надгледа процес примене и процењује успех ЛАП-а ради предлагања евентуалних измена у активностима на основу налаза и оцена.</w:t>
      </w:r>
    </w:p>
    <w:p>
      <w:pPr>
        <w:spacing w:before="0" w:after="0" w:line="281"/>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2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Временски оквир</w:t>
      </w:r>
    </w:p>
    <w:p>
      <w:pPr>
        <w:spacing w:before="0" w:after="0" w:line="291"/>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Мониторинг као систематски процес прикупљања података спроводи се континуирано за период 2024-2028.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Евалуација као анализа података ради доношења оцене о успешности вршиће се периодично-једном годишње. Финална евалуација обавиће се на крају 2028. године.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2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Мониторинг и евалуација укључују целовито сагледавање испуњења активности – задатака и специфичних циљева.</w:t>
      </w:r>
    </w:p>
    <w:p>
      <w:pPr>
        <w:spacing w:before="0" w:after="0" w:line="240"/>
        <w:ind w:right="0" w:left="23"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2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Кључни индикатори</w:t>
      </w:r>
      <w:r>
        <w:rPr>
          <w:rFonts w:ascii="Times New Roman" w:hAnsi="Times New Roman" w:cs="Times New Roman" w:eastAsia="Times New Roman"/>
          <w:color w:val="auto"/>
          <w:spacing w:val="0"/>
          <w:position w:val="0"/>
          <w:sz w:val="24"/>
          <w:shd w:fill="auto" w:val="clear"/>
        </w:rPr>
        <w:t xml:space="preserve"> утицаја за праћење и оцењивање успешности примене Локалног плана ће бити следећи:</w:t>
      </w:r>
    </w:p>
    <w:p>
      <w:pPr>
        <w:spacing w:before="0" w:after="0" w:line="240"/>
        <w:ind w:right="0" w:left="23" w:firstLine="0"/>
        <w:jc w:val="both"/>
        <w:rPr>
          <w:rFonts w:ascii="Times New Roman" w:hAnsi="Times New Roman" w:cs="Times New Roman" w:eastAsia="Times New Roman"/>
          <w:color w:val="auto"/>
          <w:spacing w:val="0"/>
          <w:position w:val="0"/>
          <w:sz w:val="24"/>
          <w:shd w:fill="auto" w:val="clear"/>
        </w:rPr>
      </w:pPr>
    </w:p>
    <w:p>
      <w:pPr>
        <w:numPr>
          <w:ilvl w:val="0"/>
          <w:numId w:val="2493"/>
        </w:numPr>
        <w:spacing w:before="0" w:after="0" w:line="240"/>
        <w:ind w:right="0" w:left="284"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Број реализованих локалних мера / програма за избегла, интерно расељена лица и повратнике;</w:t>
      </w:r>
    </w:p>
    <w:p>
      <w:pPr>
        <w:numPr>
          <w:ilvl w:val="0"/>
          <w:numId w:val="2493"/>
        </w:numPr>
        <w:spacing w:before="0" w:after="0" w:line="240"/>
        <w:ind w:right="0" w:left="284"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Обухват избеглих, ИРЛ и повратника новим  мерама / програмима;</w:t>
      </w:r>
    </w:p>
    <w:p>
      <w:pPr>
        <w:numPr>
          <w:ilvl w:val="0"/>
          <w:numId w:val="2493"/>
        </w:numPr>
        <w:spacing w:before="0" w:after="0" w:line="240"/>
        <w:ind w:right="0" w:left="284"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Структура корисника мера/програма;</w:t>
      </w:r>
    </w:p>
    <w:p>
      <w:pPr>
        <w:numPr>
          <w:ilvl w:val="0"/>
          <w:numId w:val="2493"/>
        </w:numPr>
        <w:spacing w:before="0" w:after="0" w:line="240"/>
        <w:ind w:right="0" w:left="284"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Ниво укључености различитих актера у пружању услуга избеглим, ИРЛ и повратницима у локалној заједници;</w:t>
      </w:r>
    </w:p>
    <w:p>
      <w:pPr>
        <w:numPr>
          <w:ilvl w:val="0"/>
          <w:numId w:val="2493"/>
        </w:numPr>
        <w:spacing w:before="0" w:after="0" w:line="240"/>
        <w:ind w:right="0" w:left="284"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Обим финансијских средстава издвојених за мере/програме  избеглих, ИРЛ и повратника;</w:t>
      </w:r>
    </w:p>
    <w:p>
      <w:pPr>
        <w:numPr>
          <w:ilvl w:val="0"/>
          <w:numId w:val="2493"/>
        </w:numPr>
        <w:spacing w:before="0" w:after="0" w:line="240"/>
        <w:ind w:right="0" w:left="284"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Структура финансијских средстава идвојених за мере/програме избеглих, ИРЛ и повратника (буџет локалне самоуправе, донаторска средства, други извори).</w:t>
      </w:r>
    </w:p>
    <w:p>
      <w:pPr>
        <w:spacing w:before="0" w:after="0" w:line="269"/>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Процесни индикатори су дефинисани у склопу табеле Локалног акционог плана.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Методе и технике мониторинга и евалуације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успешно обављање мониторинга и евалуације користиће се стандардни сет алата међу којима су: евидентирање корисника, интервјуи са корисницима ( упитници, разговори, анкете), извештавање и др.</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Савет за миграције и трајна решења општине Сента уз сарадњу са Повереништвом за избеглице општине Сента ће бити задужен за праћење и оцењивање успешности рада на примени Локалног акционог плана – вршиће мониторинг и евалуацију.</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 Сенти, јануара месеца 2024. године.</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40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279" w:left="0" w:firstLine="0"/>
        <w:jc w:val="center"/>
        <w:rPr>
          <w:rFonts w:ascii="Times New Roman" w:hAnsi="Times New Roman" w:cs="Times New Roman" w:eastAsia="Times New Roman"/>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num w:numId="169">
    <w:abstractNumId w:val="204"/>
  </w:num>
  <w:num w:numId="173">
    <w:abstractNumId w:val="198"/>
  </w:num>
  <w:num w:numId="215">
    <w:abstractNumId w:val="192"/>
  </w:num>
  <w:num w:numId="239">
    <w:abstractNumId w:val="186"/>
  </w:num>
  <w:num w:numId="243">
    <w:abstractNumId w:val="180"/>
  </w:num>
  <w:num w:numId="246">
    <w:abstractNumId w:val="174"/>
  </w:num>
  <w:num w:numId="276">
    <w:abstractNumId w:val="168"/>
  </w:num>
  <w:num w:numId="280">
    <w:abstractNumId w:val="162"/>
  </w:num>
  <w:num w:numId="284">
    <w:abstractNumId w:val="156"/>
  </w:num>
  <w:num w:numId="292">
    <w:abstractNumId w:val="150"/>
  </w:num>
  <w:num w:numId="295">
    <w:abstractNumId w:val="144"/>
  </w:num>
  <w:num w:numId="426">
    <w:abstractNumId w:val="138"/>
  </w:num>
  <w:num w:numId="436">
    <w:abstractNumId w:val="132"/>
  </w:num>
  <w:num w:numId="440">
    <w:abstractNumId w:val="126"/>
  </w:num>
  <w:num w:numId="457">
    <w:abstractNumId w:val="120"/>
  </w:num>
  <w:num w:numId="460">
    <w:abstractNumId w:val="114"/>
  </w:num>
  <w:num w:numId="466">
    <w:abstractNumId w:val="108"/>
  </w:num>
  <w:num w:numId="471">
    <w:abstractNumId w:val="102"/>
  </w:num>
  <w:num w:numId="473">
    <w:abstractNumId w:val="96"/>
  </w:num>
  <w:num w:numId="475">
    <w:abstractNumId w:val="90"/>
  </w:num>
  <w:num w:numId="477">
    <w:abstractNumId w:val="84"/>
  </w:num>
  <w:num w:numId="480">
    <w:abstractNumId w:val="78"/>
  </w:num>
  <w:num w:numId="489">
    <w:abstractNumId w:val="72"/>
  </w:num>
  <w:num w:numId="502">
    <w:abstractNumId w:val="66"/>
  </w:num>
  <w:num w:numId="504">
    <w:abstractNumId w:val="60"/>
  </w:num>
  <w:num w:numId="509">
    <w:abstractNumId w:val="54"/>
  </w:num>
  <w:num w:numId="511">
    <w:abstractNumId w:val="48"/>
  </w:num>
  <w:num w:numId="530">
    <w:abstractNumId w:val="42"/>
  </w:num>
  <w:num w:numId="535">
    <w:abstractNumId w:val="36"/>
  </w:num>
  <w:num w:numId="538">
    <w:abstractNumId w:val="30"/>
  </w:num>
  <w:num w:numId="544">
    <w:abstractNumId w:val="24"/>
  </w:num>
  <w:num w:numId="547">
    <w:abstractNumId w:val="18"/>
  </w:num>
  <w:num w:numId="582">
    <w:abstractNumId w:val="12"/>
  </w:num>
  <w:num w:numId="1185">
    <w:abstractNumId w:val="6"/>
  </w:num>
  <w:num w:numId="2493">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1.wmf" Id="docRId3" Type="http://schemas.openxmlformats.org/officeDocument/2006/relationships/image"/><Relationship Target="media/image3.wmf" Id="docRId7" Type="http://schemas.openxmlformats.org/officeDocument/2006/relationships/image"/><Relationship Target="embeddings/oleObject0.bin" Id="docRId0" Type="http://schemas.openxmlformats.org/officeDocument/2006/relationships/oleObject"/><Relationship Target="numbering.xml" Id="docRId10" Type="http://schemas.openxmlformats.org/officeDocument/2006/relationships/numbering"/><Relationship Target="embeddings/oleObject1.bin" Id="docRId2" Type="http://schemas.openxmlformats.org/officeDocument/2006/relationships/oleObject"/><Relationship Target="embeddings/oleObject2.bin" Id="docRId4" Type="http://schemas.openxmlformats.org/officeDocument/2006/relationships/oleObject"/><Relationship Target="embeddings/oleObject3.bin" Id="docRId6" Type="http://schemas.openxmlformats.org/officeDocument/2006/relationships/oleObject"/><Relationship Target="embeddings/oleObject4.bin" Id="docRId8" Type="http://schemas.openxmlformats.org/officeDocument/2006/relationships/oleObject"/><Relationship Target="media/image0.wmf" Id="docRId1" Type="http://schemas.openxmlformats.org/officeDocument/2006/relationships/image"/><Relationship Target="styles.xml" Id="docRId11"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s>
</file>