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FF" w:rsidRDefault="002B32FF" w:rsidP="002B32FF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TERVEZET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!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>
        <w:rPr>
          <w:rFonts w:asciiTheme="majorBidi" w:hAnsiTheme="majorBidi" w:cstheme="majorBidi"/>
          <w:sz w:val="24"/>
          <w:szCs w:val="24"/>
        </w:rPr>
        <w:t>tervez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ésről és építésről 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szóló törvény (</w:t>
      </w:r>
      <w:proofErr w:type="gramStart"/>
      <w:r w:rsidR="00384132">
        <w:rPr>
          <w:rFonts w:asciiTheme="majorBidi" w:hAnsiTheme="majorBidi" w:cstheme="majorBidi"/>
          <w:sz w:val="24"/>
          <w:szCs w:val="24"/>
          <w:lang w:val="hu-HU"/>
        </w:rPr>
        <w:t>az</w:t>
      </w:r>
      <w:proofErr w:type="gramEnd"/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 SZK Hivatalos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Közlönye, 72/2009., 81/2009. sz.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 – az AB határozata, 24/2011., 121/2012., </w:t>
      </w:r>
      <w:r>
        <w:rPr>
          <w:rFonts w:asciiTheme="majorBidi" w:hAnsiTheme="majorBidi" w:cstheme="majorBidi"/>
          <w:sz w:val="24"/>
          <w:szCs w:val="24"/>
          <w:lang w:val="hu-HU"/>
        </w:rPr>
        <w:t>4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2/2013. sz. – az AB határozata,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50/2013. sz. –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 az AB határozata, 89/2013. sz.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</w:t>
      </w:r>
      <w:r w:rsidR="00384132">
        <w:rPr>
          <w:rFonts w:asciiTheme="majorBidi" w:hAnsiTheme="majorBidi" w:cstheme="majorBidi"/>
          <w:sz w:val="24"/>
          <w:szCs w:val="24"/>
        </w:rPr>
        <w:t xml:space="preserve"> 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az AB határozata,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132/2014., 154/2014.</w:t>
      </w:r>
      <w:r w:rsidR="0038413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83/2018., 31/2019.</w:t>
      </w:r>
      <w:r w:rsidR="00384132">
        <w:rPr>
          <w:rFonts w:asciiTheme="majorBidi" w:hAnsiTheme="majorBidi" w:cstheme="majorBidi"/>
          <w:sz w:val="24"/>
          <w:szCs w:val="24"/>
        </w:rPr>
        <w:t xml:space="preserve">, 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37/2019. 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és </w:t>
      </w:r>
      <w:r w:rsidR="00384132">
        <w:rPr>
          <w:rFonts w:asciiTheme="majorBidi" w:hAnsiTheme="majorBidi" w:cstheme="majorBidi"/>
          <w:sz w:val="24"/>
          <w:szCs w:val="24"/>
        </w:rPr>
        <w:t xml:space="preserve">9/2020 </w:t>
      </w:r>
      <w:r>
        <w:rPr>
          <w:rFonts w:asciiTheme="majorBidi" w:hAnsiTheme="majorBidi" w:cstheme="majorBidi"/>
          <w:sz w:val="24"/>
          <w:szCs w:val="24"/>
          <w:lang w:val="hu-HU"/>
        </w:rPr>
        <w:t>sz.) 94. szakaszának 1. bekezdé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se, az építési telek rendezése tartalmáról,  eljárásáról és a </w:t>
      </w:r>
      <w:r>
        <w:rPr>
          <w:rFonts w:asciiTheme="majorBidi" w:hAnsiTheme="majorBidi" w:cstheme="majorBidi"/>
          <w:sz w:val="24"/>
          <w:szCs w:val="24"/>
          <w:lang w:val="hu-HU"/>
        </w:rPr>
        <w:t>program meghozatalának módjáról szóló szabály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zat (az SZK Hivatalos Közlönye,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27/20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15. sz.) 7. szakasza, valamint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384132">
        <w:rPr>
          <w:rFonts w:asciiTheme="majorBidi" w:hAnsiTheme="majorBidi" w:cstheme="majorBidi"/>
          <w:sz w:val="24"/>
          <w:szCs w:val="24"/>
        </w:rPr>
        <w:t>lapsza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bály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Hivatalos Lapja,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4/2019. sz.) 45. 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szakaszának 21. pontja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alapján Zenta Köz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ség Képviselő-testülete  a  2020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.12. ________________ tartott ülésén meghozta  az alábbi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384132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 község építési telkének rendezésére vonatkozó 2021. évi programot </w:t>
      </w:r>
    </w:p>
    <w:p w:rsidR="00384132" w:rsidRDefault="00384132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Pr="00384132" w:rsidRDefault="002B32FF" w:rsidP="003841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BEVEZETŐ RÉSZ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384132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Zenta község építési telkének rendezésére vonatkozó 2021. évi program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(a továbbiakban: program) kidolgozását </w:t>
      </w:r>
      <w:r w:rsidR="002B32FF" w:rsidRPr="00B93252">
        <w:rPr>
          <w:rFonts w:asciiTheme="majorBidi" w:hAnsiTheme="majorBidi" w:cstheme="majorBidi"/>
          <w:sz w:val="24"/>
          <w:szCs w:val="24"/>
          <w:lang w:val="hu-HU"/>
        </w:rPr>
        <w:t>a tervez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ésről és építésről szóló törvény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(az SZK Hivatalos Közlönye, 72/2009., 81/2009. sz. – az AB határozata, 24/2011., 121/2012., 42/2013. sz. – az AB határozata, 50/2013. sz. – az AB határozata, 89/2013. sz. –</w:t>
      </w:r>
      <w:r w:rsidR="007774D1">
        <w:rPr>
          <w:rFonts w:asciiTheme="majorBidi" w:hAnsiTheme="majorBidi" w:cstheme="majorBidi"/>
          <w:sz w:val="24"/>
          <w:szCs w:val="24"/>
        </w:rPr>
        <w:t xml:space="preserve">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az AB határozata, 132/2014., 154/2014.</w:t>
      </w:r>
      <w:r w:rsidR="007774D1">
        <w:rPr>
          <w:rFonts w:asciiTheme="majorBidi" w:hAnsiTheme="majorBidi" w:cstheme="majorBidi"/>
          <w:sz w:val="24"/>
          <w:szCs w:val="24"/>
        </w:rPr>
        <w:t>,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 83/2018., 31/2019.</w:t>
      </w:r>
      <w:r w:rsidR="007774D1">
        <w:rPr>
          <w:rFonts w:asciiTheme="majorBidi" w:hAnsiTheme="majorBidi" w:cstheme="majorBidi"/>
          <w:sz w:val="24"/>
          <w:szCs w:val="24"/>
        </w:rPr>
        <w:t xml:space="preserve">,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37/2019. és </w:t>
      </w:r>
      <w:r w:rsidR="007774D1">
        <w:rPr>
          <w:rFonts w:asciiTheme="majorBidi" w:hAnsiTheme="majorBidi" w:cstheme="majorBidi"/>
          <w:sz w:val="24"/>
          <w:szCs w:val="24"/>
        </w:rPr>
        <w:t xml:space="preserve">9/2020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sz.) 94. szakaszának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1. be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kezdésével,  az építési telek rendezése tartalmáról, eljárásáról és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program meghozatalának módjáról szóló szabály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zat (az SZK Hivatalos Közlönye,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27/2015. sz.) rendelkezéseivel összhangban   kezdtük meg.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éves program területileg felöleli  Zenta  község területét.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7774D1" w:rsidP="002B32F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éves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programot a 2021. évre hozzuk meg, melyet Zenta község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épít</w:t>
      </w:r>
      <w:r>
        <w:rPr>
          <w:rFonts w:asciiTheme="majorBidi" w:hAnsiTheme="majorBidi" w:cstheme="majorBidi"/>
          <w:sz w:val="24"/>
          <w:szCs w:val="24"/>
          <w:lang w:val="hu-HU"/>
        </w:rPr>
        <w:t>ési telkének rendezéséről szóló 2018-tól 2022-ig terjedő időszakra vonatkozó középtávú programmal és  Zenta község 2021.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évi  költségvetéséről szóló </w:t>
      </w:r>
      <w:r>
        <w:rPr>
          <w:rFonts w:asciiTheme="majorBidi" w:hAnsiTheme="majorBidi" w:cstheme="majorBidi"/>
          <w:sz w:val="24"/>
          <w:szCs w:val="24"/>
          <w:lang w:val="hu-HU"/>
        </w:rPr>
        <w:t>rendelettel összhangban dolgoztunk ki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2B32FF" w:rsidRPr="00D30877" w:rsidRDefault="002B32FF" w:rsidP="002B32FF">
      <w:pPr>
        <w:jc w:val="both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Községi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2020</w:t>
      </w:r>
      <w:r w:rsidR="00C902E1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dec</w:t>
      </w:r>
      <w:r w:rsidR="00C902E1">
        <w:rPr>
          <w:rFonts w:asciiTheme="majorBidi" w:hAnsiTheme="majorBidi" w:cstheme="majorBidi"/>
          <w:sz w:val="24"/>
          <w:szCs w:val="24"/>
        </w:rPr>
        <w:t xml:space="preserve">ember </w:t>
      </w:r>
      <w:r w:rsidR="007F038E">
        <w:rPr>
          <w:rFonts w:asciiTheme="majorBidi" w:hAnsiTheme="majorBidi" w:cstheme="majorBidi"/>
          <w:sz w:val="24"/>
          <w:szCs w:val="24"/>
          <w:lang w:val="hu-HU"/>
        </w:rPr>
        <w:t>3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-á</w:t>
      </w:r>
      <w:r w:rsidR="00C902E1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Zenta község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közzétette a Zenta község építési telkének rendezésére vonatkozó 2021. évi program tervezetét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és egyúttal </w:t>
      </w:r>
      <w:r>
        <w:rPr>
          <w:rFonts w:asciiTheme="majorBidi" w:hAnsiTheme="majorBidi" w:cstheme="majorBidi"/>
          <w:sz w:val="24"/>
          <w:szCs w:val="24"/>
          <w:lang w:val="hu-HU"/>
        </w:rPr>
        <w:t>felhív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ott minden érdekelt személyt,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hogy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a közzétételtől számított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10 napon belül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juttassa el a tervezetre vonatkozó megjegyzéseit az építésügyi és kommunális teendők osztályvezető asszonyához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9135E7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beérkezett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kommentárok alapján elkészült a programtervezet megvitatásáról szóló jelentés,  amelyben megállapítottuk: ________________.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Közs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égi Közigazgatási Hivatal a beérkezett javaslatok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és megjegyzések alapján elkészítette 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program 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 xml:space="preserve">módosított 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kiegészített szövegét és 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eljuttatta azt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özség Községi Tanácsának, mint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 Zen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tai Községi Képviselő-testület ülésein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 xml:space="preserve">megvitatásra kerülő anyagok  meghatalmazott </w:t>
      </w:r>
      <w:r>
        <w:rPr>
          <w:rFonts w:asciiTheme="majorBidi" w:hAnsiTheme="majorBidi" w:cstheme="majorBidi"/>
          <w:sz w:val="24"/>
          <w:szCs w:val="24"/>
          <w:lang w:val="hu-HU"/>
        </w:rPr>
        <w:t>javasla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ttevő szerv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nek.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Községi Tanácsa, mint a Zentai Községi Képviselő-testület ülései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 xml:space="preserve">megvitatásra kerülő anyagok meghatalmazott javaslattevő szerve meghozta a Zenta község építési telkének rendezésére vonatkozó 2021. évi program javaslatát, melyet továbbított </w:t>
      </w:r>
      <w:r>
        <w:rPr>
          <w:rFonts w:asciiTheme="majorBidi" w:hAnsiTheme="majorBidi" w:cstheme="majorBidi"/>
          <w:sz w:val="24"/>
          <w:szCs w:val="24"/>
          <w:lang w:val="hu-HU"/>
        </w:rPr>
        <w:t>a Zentai Községi Képvis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elő-testülethez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annak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megvitatás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elfogadás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céljából. 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885408" w:rsidP="002B32FF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PROGRAM ÖSSZEHANGOLTSÁGA A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HELYI ÖNKORMÁNYZATI EGYSÉG  F</w:t>
      </w:r>
      <w:r w:rsidR="00B67CCE">
        <w:rPr>
          <w:rFonts w:asciiTheme="majorBidi" w:hAnsiTheme="majorBidi" w:cstheme="majorBidi"/>
          <w:b/>
          <w:bCs/>
          <w:sz w:val="24"/>
          <w:szCs w:val="24"/>
          <w:lang w:val="hu-HU"/>
        </w:rPr>
        <w:t>EJLESZTÉSI CÉLJAIN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AK</w:t>
      </w:r>
      <w:r w:rsidR="00B67CC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ÖSSZESSÉGÉVEL</w:t>
      </w:r>
    </w:p>
    <w:p w:rsidR="002B32FF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Pr="00765087" w:rsidRDefault="00B67CCE" w:rsidP="002B32FF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2B32FF" w:rsidRPr="00765087">
        <w:rPr>
          <w:rFonts w:asciiTheme="majorBidi" w:hAnsiTheme="majorBidi" w:cstheme="majorBidi"/>
          <w:b/>
          <w:bCs/>
          <w:sz w:val="24"/>
          <w:szCs w:val="24"/>
          <w:lang w:val="hu-HU"/>
        </w:rPr>
        <w:t>A program összehangoltsága a helyi önkormányzati egység területfejlesztési céljaival</w:t>
      </w:r>
    </w:p>
    <w:p w:rsidR="002B32FF" w:rsidRPr="00765087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a kommunál</w:t>
      </w:r>
      <w:r w:rsidR="00B67CCE">
        <w:rPr>
          <w:rFonts w:asciiTheme="majorBidi" w:hAnsiTheme="majorBidi" w:cstheme="majorBidi"/>
          <w:sz w:val="24"/>
          <w:szCs w:val="24"/>
          <w:lang w:val="hu-HU"/>
        </w:rPr>
        <w:t>is infrastruktúra létesítményeib</w:t>
      </w:r>
      <w:r>
        <w:rPr>
          <w:rFonts w:asciiTheme="majorBidi" w:hAnsiTheme="majorBidi" w:cstheme="majorBidi"/>
          <w:sz w:val="24"/>
          <w:szCs w:val="24"/>
          <w:lang w:val="hu-HU"/>
        </w:rPr>
        <w:t>e</w:t>
      </w:r>
      <w:r w:rsidR="00B67CCE" w:rsidRPr="00B67CC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67CCE">
        <w:rPr>
          <w:rFonts w:asciiTheme="majorBidi" w:hAnsiTheme="majorBidi" w:cstheme="majorBidi"/>
          <w:sz w:val="24"/>
          <w:szCs w:val="24"/>
          <w:lang w:val="hu-HU"/>
        </w:rPr>
        <w:t>történő ésszerű beruházásokra, valamint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67CCE">
        <w:rPr>
          <w:rFonts w:asciiTheme="majorBidi" w:hAnsiTheme="majorBidi" w:cstheme="majorBidi"/>
          <w:sz w:val="24"/>
          <w:szCs w:val="24"/>
          <w:lang w:val="hu-HU"/>
        </w:rPr>
        <w:t>a helyi önkormányzati egység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további folyamatos fejlesztésé</w:t>
      </w:r>
      <w:r w:rsidR="00B67CCE">
        <w:rPr>
          <w:rFonts w:asciiTheme="majorBidi" w:hAnsiTheme="majorBidi" w:cstheme="majorBidi"/>
          <w:sz w:val="24"/>
          <w:szCs w:val="24"/>
          <w:lang w:val="hu-HU"/>
        </w:rPr>
        <w:t>t lehetővé tevő alapfeltételek megteremtésére törekszik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tervezett munkál</w:t>
      </w:r>
      <w:r w:rsidR="00B67CCE">
        <w:rPr>
          <w:rFonts w:asciiTheme="majorBidi" w:hAnsiTheme="majorBidi" w:cstheme="majorBidi"/>
          <w:sz w:val="24"/>
          <w:szCs w:val="24"/>
          <w:lang w:val="hu-HU"/>
        </w:rPr>
        <w:t>atok megvalósítása hozzájárul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lakott települések minőségesebb kommunális infrastruktúrával való felszereltségéhez és a környezetvédelemhez.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Pr="00765087" w:rsidRDefault="00B67CCE" w:rsidP="002B32FF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2B32FF" w:rsidRPr="0076508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program összehangoltsága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</w:t>
      </w:r>
      <w:r w:rsidRPr="0076508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egyes tevékenységek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fejlesztési céljaiv</w:t>
      </w:r>
      <w:r w:rsidR="002B32FF" w:rsidRPr="00765087">
        <w:rPr>
          <w:rFonts w:asciiTheme="majorBidi" w:hAnsiTheme="majorBidi" w:cstheme="majorBidi"/>
          <w:b/>
          <w:bCs/>
          <w:sz w:val="24"/>
          <w:szCs w:val="24"/>
          <w:lang w:val="hu-HU"/>
        </w:rPr>
        <w:t>al</w:t>
      </w:r>
      <w:r w:rsidRPr="00B67CC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67CCE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program végrehajt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ását</w:t>
      </w:r>
      <w:r>
        <w:rPr>
          <w:rFonts w:asciiTheme="majorBidi" w:hAnsiTheme="majorBidi" w:cstheme="majorBidi"/>
          <w:sz w:val="24"/>
          <w:szCs w:val="24"/>
          <w:lang w:val="hu-HU"/>
        </w:rPr>
        <w:t>ó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hatások várhatóak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67CCE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 a lakott települések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kommunális infrastruktúrával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 xml:space="preserve"> (korszerű úttestek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kiépítése, egészséges ivóvíz,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 szennyvizek elvezetése)</w:t>
      </w:r>
      <w:r w:rsidRPr="00B67CC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való minőségesebb felszereltsége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67CCE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 meglévő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ko</w:t>
      </w:r>
      <w:r>
        <w:rPr>
          <w:rFonts w:asciiTheme="majorBidi" w:hAnsiTheme="majorBidi" w:cstheme="majorBidi"/>
          <w:sz w:val="24"/>
          <w:szCs w:val="24"/>
          <w:lang w:val="hu-HU"/>
        </w:rPr>
        <w:t>mmunális rendszerek minőségének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javítása és kibővítése,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67CCE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az ipari övezetek kommunális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infrastruktúrával való felszerelése, amiv</w:t>
      </w:r>
      <w:r>
        <w:rPr>
          <w:rFonts w:asciiTheme="majorBidi" w:hAnsiTheme="majorBidi" w:cstheme="majorBidi"/>
          <w:sz w:val="24"/>
          <w:szCs w:val="24"/>
          <w:lang w:val="hu-HU"/>
        </w:rPr>
        <w:t>el lehetőség nyílik új termelési kapacitások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megteremtésére és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új munkahelyek </w:t>
      </w:r>
      <w:r>
        <w:rPr>
          <w:rFonts w:asciiTheme="majorBidi" w:hAnsiTheme="majorBidi" w:cstheme="majorBidi"/>
          <w:sz w:val="24"/>
          <w:szCs w:val="24"/>
          <w:lang w:val="hu-HU"/>
        </w:rPr>
        <w:t>megnyitására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az oktatási, kulturális és egészségügyi intézményekben 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>rendelkezésre álló feltételek, valamint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tu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risztikai kapacitás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 xml:space="preserve"> javítása,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jobb feltételek 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>megteremtése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sport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 xml:space="preserve"> és a rekreáció fejlesztésére, minőségesebb környez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etvédelem, a biztonsági fokozat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 xml:space="preserve"> növelése a  polgárvédelem 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>hon</w:t>
      </w:r>
      <w:r>
        <w:rPr>
          <w:rFonts w:asciiTheme="majorBidi" w:hAnsiTheme="majorBidi" w:cstheme="majorBidi"/>
          <w:sz w:val="24"/>
          <w:szCs w:val="24"/>
          <w:lang w:val="hu-HU"/>
        </w:rPr>
        <w:t>védelem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 xml:space="preserve"> területén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9135E7" w:rsidP="002B32FF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program  módosításának és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kiegészítésének lehetőségei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0E1E0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pr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ogram lehetőséget ad az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új aktivitások</w:t>
      </w:r>
      <w:r>
        <w:rPr>
          <w:rFonts w:asciiTheme="majorBidi" w:hAnsiTheme="majorBidi" w:cstheme="majorBidi"/>
          <w:sz w:val="24"/>
          <w:szCs w:val="24"/>
          <w:lang w:val="hu-HU"/>
        </w:rPr>
        <w:t>kal történő bővülésre, ám az új aktivitások programba való beépítése során tiszteletben kell tartani azon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feltételeket,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melyek betartásával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megakadályoz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ható, hogy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az új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ak</w:t>
      </w:r>
      <w:r>
        <w:rPr>
          <w:rFonts w:asciiTheme="majorBidi" w:hAnsiTheme="majorBidi" w:cstheme="majorBidi"/>
          <w:sz w:val="24"/>
          <w:szCs w:val="24"/>
          <w:lang w:val="hu-HU"/>
        </w:rPr>
        <w:t>tivitások</w:t>
      </w:r>
      <w:r w:rsidRPr="000E1E0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kívánt hatást gyakoroljanak a már korábban 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előirányozott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munkálatokra.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</w:t>
      </w:r>
      <w:r w:rsidR="002E6093">
        <w:rPr>
          <w:rFonts w:asciiTheme="majorBidi" w:hAnsiTheme="majorBidi" w:cstheme="majorBidi"/>
          <w:sz w:val="24"/>
          <w:szCs w:val="24"/>
          <w:lang w:val="hu-HU"/>
        </w:rPr>
        <w:t>ogram leglényegesebb aktivitás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i pontja a</w:t>
      </w:r>
      <w:r w:rsidR="002E609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tervdokumentáció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k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 xml:space="preserve"> kidolgozása,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 xml:space="preserve">ezért ezek megvalósítását feltétlenül biztosítani kell, mert </w:t>
      </w:r>
      <w:r>
        <w:rPr>
          <w:rFonts w:asciiTheme="majorBidi" w:hAnsiTheme="majorBidi" w:cstheme="majorBidi"/>
          <w:sz w:val="24"/>
          <w:szCs w:val="24"/>
          <w:lang w:val="hu-HU"/>
        </w:rPr>
        <w:t>nélkül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 xml:space="preserve">ük kérdésessé válna a többi  előirányozott munkálat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kivitelezése.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feltételesen előirányozott létesítmények és munkálatok (a feltételes előirányozottság oka, hogy nincsenek 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arra vonatkozó megbízható bizonyítéko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k, hogy 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ezek valóban el is kész</w:t>
      </w:r>
      <w:r>
        <w:rPr>
          <w:rFonts w:asciiTheme="majorBidi" w:hAnsiTheme="majorBidi" w:cstheme="majorBidi"/>
          <w:sz w:val="24"/>
          <w:szCs w:val="24"/>
          <w:lang w:val="hu-HU"/>
        </w:rPr>
        <w:t>ülnek a programidőszak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 xml:space="preserve"> sorá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n):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9135E7" w:rsidP="002B32FF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valami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kori November 11. katonai komplexus területének egy részén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található zentai földterület megvásárlása: habár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intenzív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 xml:space="preserve"> mu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ka folyik e projektum megvalósítása céljából, nincs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megbízható </w:t>
      </w:r>
      <w:r>
        <w:rPr>
          <w:rFonts w:asciiTheme="majorBidi" w:hAnsiTheme="majorBidi" w:cstheme="majorBidi"/>
          <w:sz w:val="24"/>
          <w:szCs w:val="24"/>
          <w:lang w:val="hu-HU"/>
        </w:rPr>
        <w:t>információ arról, hogy a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 xml:space="preserve"> 2021. év végéig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sikerül-e megteremteni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 törvényes feltételek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et ezen jogügylet megvalósításához - tudniillik,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valami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 xml:space="preserve">kori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November 11. katonai komplexum egy részének 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tulajdonátruházásáról szóló szerződést csak akkor lehet megkötni, ha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 Szerb Köztársaság Korm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ánya erről megfelelő határozatot</w:t>
      </w:r>
      <w:r w:rsidR="001B073C">
        <w:rPr>
          <w:rFonts w:asciiTheme="majorBidi" w:hAnsiTheme="majorBidi" w:cstheme="majorBidi"/>
          <w:sz w:val="24"/>
          <w:szCs w:val="24"/>
          <w:lang w:val="hu-HU"/>
        </w:rPr>
        <w:t xml:space="preserve"> hoz, valamint miután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a szóban forgó földterületen</w:t>
      </w:r>
      <w:r w:rsidR="001B073C">
        <w:rPr>
          <w:rFonts w:asciiTheme="majorBidi" w:hAnsiTheme="majorBidi" w:cstheme="majorBidi"/>
          <w:sz w:val="24"/>
          <w:szCs w:val="24"/>
          <w:lang w:val="hu-HU"/>
        </w:rPr>
        <w:t xml:space="preserve"> levő, ám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B073C">
        <w:rPr>
          <w:rFonts w:asciiTheme="majorBidi" w:hAnsiTheme="majorBidi" w:cstheme="majorBidi"/>
          <w:sz w:val="24"/>
          <w:szCs w:val="24"/>
          <w:lang w:val="hu-HU"/>
        </w:rPr>
        <w:t xml:space="preserve">a hivatalos nyilvántartásban nem szereplő létesítményeket bejegyezték </w:t>
      </w:r>
      <w:r>
        <w:rPr>
          <w:rFonts w:asciiTheme="majorBidi" w:hAnsiTheme="majorBidi" w:cstheme="majorBidi"/>
          <w:sz w:val="24"/>
          <w:szCs w:val="24"/>
          <w:lang w:val="hu-HU"/>
        </w:rPr>
        <w:t>az</w:t>
      </w:r>
      <w:r w:rsidR="001B073C">
        <w:rPr>
          <w:rFonts w:asciiTheme="majorBidi" w:hAnsiTheme="majorBidi" w:cstheme="majorBidi"/>
          <w:sz w:val="24"/>
          <w:szCs w:val="24"/>
          <w:lang w:val="hu-HU"/>
        </w:rPr>
        <w:t xml:space="preserve"> Ingatlan-nyilvántartó Hivatal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1B073C">
        <w:rPr>
          <w:rFonts w:asciiTheme="majorBidi" w:hAnsiTheme="majorBidi" w:cstheme="majorBidi"/>
          <w:sz w:val="24"/>
          <w:szCs w:val="24"/>
          <w:lang w:val="hu-HU"/>
        </w:rPr>
        <w:t>ál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Pr="008B043A" w:rsidRDefault="001B073C" w:rsidP="002B32FF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Zenta </w:t>
      </w:r>
      <w:r w:rsidR="002B32FF"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k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özség területrendezési tervének, Zenta település </w:t>
      </w:r>
      <w:r w:rsidR="002B32FF"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ál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talános szabályozási tervének,</w:t>
      </w:r>
      <w:r w:rsidR="002B32FF"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a IIa rend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ű 105-ös számú állami útvonal részletes szabályozási tervének, a Zenta település területén a 8., 7. és 9.</w:t>
      </w:r>
      <w:r w:rsidR="002B32FF"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</w:t>
      </w:r>
      <w:r w:rsidR="009135E7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t</w:t>
      </w:r>
      <w:r w:rsidR="002B32FF"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ömb</w:t>
      </w:r>
      <w:r w:rsidR="009135E7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egy részé</w:t>
      </w:r>
      <w:r w:rsidR="002B32FF"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re 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vonatkozó részletes szabályozási terv, a Stevan Sremac Általános Iskola </w:t>
      </w:r>
      <w:r w:rsidR="009135E7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épületének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</w:t>
      </w:r>
      <w:r w:rsidR="009135E7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helyreállítására vonatkozó tervdokumentáció, illetve az en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ergetikai hatékonyságra és a megújúló energiaforrásokra vonatkozó</w:t>
      </w:r>
      <w:r w:rsidRPr="001B073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</w:t>
      </w:r>
      <w:r w:rsidR="009135E7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terv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dokumentáció </w:t>
      </w:r>
      <w:r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kidolgozása</w:t>
      </w:r>
      <w:r w:rsidR="002B32FF"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: 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a szóban forgó tervaktusok kidolgozása folyamatban van, de nincs</w:t>
      </w:r>
      <w:r w:rsidR="002B32FF"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megbízható </w:t>
      </w:r>
      <w:r w:rsidR="009135E7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információ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arról, vajon a 2021.</w:t>
      </w:r>
      <w:r w:rsidR="002B32FF"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év végéig be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is </w:t>
      </w:r>
      <w:r w:rsidR="002B32FF"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fejezik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-e</w:t>
      </w:r>
      <w:r w:rsidR="002B32FF"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azoka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t.</w:t>
      </w:r>
      <w:r w:rsidR="002B32FF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</w:t>
      </w:r>
    </w:p>
    <w:p w:rsidR="002B32FF" w:rsidRPr="008B043A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1B073C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 KÖZÉPTÁVÚ PROGRAMMAL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ELŐIRÁNYOZOTT MUNKÁLATOKKAL KAPCSOLATOS HELYZETKÉP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Tekintettel</w:t>
      </w:r>
      <w:r w:rsidR="001B073C">
        <w:rPr>
          <w:rFonts w:asciiTheme="majorBidi" w:hAnsiTheme="majorBidi" w:cstheme="majorBidi"/>
          <w:sz w:val="24"/>
          <w:szCs w:val="24"/>
          <w:lang w:val="hu-HU"/>
        </w:rPr>
        <w:t xml:space="preserve"> arra, hogy 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 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a folyó év sorá</w:t>
      </w:r>
      <w:r>
        <w:rPr>
          <w:rFonts w:asciiTheme="majorBidi" w:hAnsiTheme="majorBidi" w:cstheme="majorBidi"/>
          <w:sz w:val="24"/>
          <w:szCs w:val="24"/>
          <w:lang w:val="hu-HU"/>
        </w:rPr>
        <w:t>n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 xml:space="preserve"> és az előző években is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jelentős  </w:t>
      </w:r>
      <w:r w:rsidR="0072229B">
        <w:rPr>
          <w:rFonts w:asciiTheme="majorBidi" w:hAnsiTheme="majorBidi" w:cstheme="majorBidi"/>
          <w:sz w:val="24"/>
          <w:szCs w:val="24"/>
          <w:lang w:val="hu-HU"/>
        </w:rPr>
        <w:t>forrásokho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z jutott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magasabb hatalmi szintek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 xml:space="preserve"> által folyósított rendeltetésszerű átutalásokból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és 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 xml:space="preserve">külföldi </w:t>
      </w:r>
      <w:r>
        <w:rPr>
          <w:rFonts w:asciiTheme="majorBidi" w:hAnsiTheme="majorBidi" w:cstheme="majorBidi"/>
          <w:sz w:val="24"/>
          <w:szCs w:val="24"/>
          <w:lang w:val="hu-HU"/>
        </w:rPr>
        <w:t>adomá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nyokból,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építési telek rendezés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én</w:t>
      </w:r>
      <w:r>
        <w:rPr>
          <w:rFonts w:asciiTheme="majorBidi" w:hAnsiTheme="majorBidi" w:cstheme="majorBidi"/>
          <w:sz w:val="24"/>
          <w:szCs w:val="24"/>
          <w:lang w:val="hu-HU"/>
        </w:rPr>
        <w:t>e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2018-tól 2022-ig terjedő középtávú program</w:t>
      </w:r>
      <w:r w:rsidR="0072229B"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ban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 xml:space="preserve"> s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zereplő sok pont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már teljes egészében megvalósult, vagy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legalább megkezdődött.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A)</w:t>
      </w:r>
      <w:r w:rsidR="006628C1" w:rsidRPr="006628C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Az építési telek rendezésének 2018-tól 2022-ig terjedő középtávú program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já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ból teljes egészében megvalósultak az alábbi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programfeladatok, illetve  projektumok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: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6628C1" w:rsidRDefault="006628C1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6628C1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1. a hőenergia gyártása céljából a zentai 49. tömb területén kiépítésre került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en</w:t>
      </w:r>
      <w:r>
        <w:rPr>
          <w:rFonts w:asciiTheme="majorBidi" w:hAnsiTheme="majorBidi" w:cstheme="majorBidi"/>
          <w:sz w:val="24"/>
          <w:szCs w:val="24"/>
          <w:lang w:val="hu-HU"/>
        </w:rPr>
        <w:t>ergetikai létesítmény (hőerőmű)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részletes szabályozási tervének kidolgoz</w:t>
      </w:r>
      <w:r>
        <w:rPr>
          <w:rFonts w:asciiTheme="majorBidi" w:hAnsiTheme="majorBidi" w:cstheme="majorBidi"/>
          <w:sz w:val="24"/>
          <w:szCs w:val="24"/>
          <w:lang w:val="hu-HU"/>
        </w:rPr>
        <w:t>ása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az új Hőerőmű kommunális felszerelése,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tervdokumentáció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 xml:space="preserve"> kidolgozása az Idősek Otthonának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rekonstrukciój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 xml:space="preserve"> céljából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közlekedési útvonal 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- aszfaltutak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kiépítése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zentai Kertész és Csuka Zoltán utcákban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. a csatornahálózat kiépítése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 Petőfi bri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gádok és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 xml:space="preserve"> a Berta István utca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több részé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n,  </w:t>
      </w: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. a  nemzeti  kisebbségek nyelvén kiírt táblák kidolgozása és elhelyezése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7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fényjelzés Tornyoson (új szemafór),  </w:t>
      </w: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8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 xml:space="preserve">.  a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Városok a fókuszban 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projektum – a zentai Stevan Sremac park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rekonstrukciója, </w:t>
      </w:r>
    </w:p>
    <w:p w:rsidR="002B32FF" w:rsidRDefault="00DB5695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9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. a hővezeték-hálózat felvásárlása (ame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lynek adásvételi szerződését ugyan még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>a  középtávú program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 xml:space="preserve"> által felölelt időszak kezdete előtt megkötötték, ám a vételár utolsó részletének a   kifizetésére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csak 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2019-ben került sor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).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B) Min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>den évben rendszeresen végezzük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az építési telek rendezésének 2018-tól 2022-ig terjedő középtávú program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>já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ban szereplő alábbi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programfeladatok, illetve projektumok    megvalósítását: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1.</w:t>
      </w:r>
      <w:r w:rsidR="001C03AD">
        <w:rPr>
          <w:rFonts w:asciiTheme="majorBidi" w:hAnsiTheme="majorBidi" w:cstheme="majorBidi"/>
          <w:sz w:val="24"/>
          <w:szCs w:val="24"/>
          <w:lang w:val="hu-HU"/>
        </w:rPr>
        <w:t xml:space="preserve"> az építési telek igazgatása (pl. a  vagyonjogi viszonyok megoldása, illetékfizetés stb.),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2. Zenta kö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>zség területén a közvilágítás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folyó javítása és karbantartása,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3. az ut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 xml:space="preserve">ak rendszeres karbantartása, </w:t>
      </w:r>
      <w:r>
        <w:rPr>
          <w:rFonts w:asciiTheme="majorBidi" w:hAnsiTheme="majorBidi" w:cstheme="majorBidi"/>
          <w:sz w:val="24"/>
          <w:szCs w:val="24"/>
          <w:lang w:val="hu-HU"/>
        </w:rPr>
        <w:t>az útszegél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 xml:space="preserve">yek rendszeres karbantartása, a közlekedési jelzések és az úti </w:t>
      </w:r>
      <w:r>
        <w:rPr>
          <w:rFonts w:asciiTheme="majorBidi" w:hAnsiTheme="majorBidi" w:cstheme="majorBidi"/>
          <w:sz w:val="24"/>
          <w:szCs w:val="24"/>
          <w:lang w:val="hu-HU"/>
        </w:rPr>
        <w:t>felszer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 xml:space="preserve">elés rendszeres karbantartása, a vertikális és </w:t>
      </w:r>
      <w:r>
        <w:rPr>
          <w:rFonts w:asciiTheme="majorBidi" w:hAnsiTheme="majorBidi" w:cstheme="majorBidi"/>
          <w:sz w:val="24"/>
          <w:szCs w:val="24"/>
          <w:lang w:val="hu-HU"/>
        </w:rPr>
        <w:t>horizontális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 xml:space="preserve"> szignalizáció karbantartása, az utak téli karbantartása, </w:t>
      </w:r>
      <w:r w:rsidR="004A6ED9">
        <w:rPr>
          <w:rFonts w:asciiTheme="majorBidi" w:hAnsiTheme="majorBidi" w:cstheme="majorBidi"/>
          <w:sz w:val="24"/>
          <w:szCs w:val="24"/>
          <w:lang w:val="hu-HU"/>
        </w:rPr>
        <w:t xml:space="preserve">a vasúti síneken 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l</w:t>
      </w:r>
      <w:r w:rsidR="004A6ED9">
        <w:rPr>
          <w:rFonts w:asciiTheme="majorBidi" w:hAnsiTheme="majorBidi" w:cstheme="majorBidi"/>
          <w:sz w:val="24"/>
          <w:szCs w:val="24"/>
          <w:lang w:val="hu-HU"/>
        </w:rPr>
        <w:t>ev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ő</w:t>
      </w:r>
      <w:r w:rsidR="009E1063" w:rsidRPr="009E106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átkelők karbantartása, az utakról való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 xml:space="preserve">vízelvezetési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rendszer karbantartása,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a zöld közterületek karbantartása,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5. a közterületek  tisztítása,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6. 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 xml:space="preserve">a szökőkút, a közterületen levő játszóterek, a </w:t>
      </w:r>
      <w:r>
        <w:rPr>
          <w:rFonts w:asciiTheme="majorBidi" w:hAnsiTheme="majorBidi" w:cstheme="majorBidi"/>
          <w:sz w:val="24"/>
          <w:szCs w:val="24"/>
          <w:lang w:val="hu-HU"/>
        </w:rPr>
        <w:t>városi strand karbantar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tása, beton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gömbök   kidolgozása és elhelyezése,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7. 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 xml:space="preserve">a  hővezeték karbantartási és </w:t>
      </w:r>
      <w:r>
        <w:rPr>
          <w:rFonts w:asciiTheme="majorBidi" w:hAnsiTheme="majorBidi" w:cstheme="majorBidi"/>
          <w:sz w:val="24"/>
          <w:szCs w:val="24"/>
          <w:lang w:val="hu-HU"/>
        </w:rPr>
        <w:t>rekonstrukció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s munkálatainak kivitelezése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9E1063" w:rsidRDefault="009E1063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8. a műszaki tervdokumentáció kidolgozása, a telek kommunális felszereltségének megteremtésével kapcsolatos különféle beruházások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szakmai felügyel</w:t>
      </w:r>
      <w:r>
        <w:rPr>
          <w:rFonts w:asciiTheme="majorBidi" w:hAnsiTheme="majorBidi" w:cstheme="majorBidi"/>
          <w:sz w:val="24"/>
          <w:szCs w:val="24"/>
          <w:lang w:val="hu-HU"/>
        </w:rPr>
        <w:t>ete és az ezzel kapcsolatos más kísérő cselekmények végzése.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05D9A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C) 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Az építési telek rendezésének 2018-tól 2022-ig terjedő középtávú program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já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ból az alábbi programfeladatok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illetve projektumok megvalósítása van folyamatban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: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1. 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valamikori November 11. katonai komplexum</w:t>
      </w:r>
      <w:r w:rsidR="00892132">
        <w:rPr>
          <w:rFonts w:asciiTheme="majorBidi" w:hAnsiTheme="majorBidi" w:cstheme="majorBidi"/>
          <w:sz w:val="24"/>
          <w:szCs w:val="24"/>
          <w:lang w:val="hu-HU"/>
        </w:rPr>
        <w:t xml:space="preserve"> területén található zentai telkek egy részének megvásárlása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892132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2. Zenta község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területrendezési tervének kidolgozása,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Zenta település általános szabályozási tervének a kidolgozása,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4. a IIa rend</w:t>
      </w:r>
      <w:r w:rsidR="00892132">
        <w:rPr>
          <w:rFonts w:asciiTheme="majorBidi" w:hAnsiTheme="majorBidi" w:cstheme="majorBidi"/>
          <w:sz w:val="24"/>
          <w:szCs w:val="24"/>
          <w:lang w:val="hu-HU"/>
        </w:rPr>
        <w:t>ű 105-ös számú állami útvonalnak a Zenta település építési területén található részé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t érintő</w:t>
      </w:r>
      <w:r w:rsidR="00892132">
        <w:rPr>
          <w:rFonts w:asciiTheme="majorBidi" w:hAnsiTheme="majorBidi" w:cstheme="majorBidi"/>
          <w:sz w:val="24"/>
          <w:szCs w:val="24"/>
          <w:lang w:val="hu-HU"/>
        </w:rPr>
        <w:t xml:space="preserve"> részletes szabályozási terv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kidolgozása,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892132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5.  a 8., a 7. és a 9.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tömb egy rész</w:t>
      </w:r>
      <w:r>
        <w:rPr>
          <w:rFonts w:asciiTheme="majorBidi" w:hAnsiTheme="majorBidi" w:cstheme="majorBidi"/>
          <w:sz w:val="24"/>
          <w:szCs w:val="24"/>
          <w:lang w:val="hu-HU"/>
        </w:rPr>
        <w:t>ére vonatkozó részletes szabályozási terv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kidolgozása.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892132" w:rsidP="002B32FF">
      <w:pPr>
        <w:pStyle w:val="NoSpacing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 SZEMPONTRENDSZER, AMELY ALAPJÁN A KÖZÉPTÁVÚ  PROGRAMBAN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SZEREPLŐ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MUNKÁLATOK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2021. ÉVI PROGRAMBA KERÜLTEK</w:t>
      </w:r>
    </w:p>
    <w:p w:rsidR="002B32FF" w:rsidRDefault="002B32FF" w:rsidP="002B32FF">
      <w:pPr>
        <w:pStyle w:val="NoSpacing"/>
        <w:ind w:left="36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CC7920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középtávú programb</w:t>
      </w:r>
      <w:r w:rsidR="00892132">
        <w:rPr>
          <w:rFonts w:asciiTheme="majorBidi" w:hAnsiTheme="majorBidi" w:cstheme="majorBidi"/>
          <w:sz w:val="24"/>
          <w:szCs w:val="24"/>
          <w:lang w:val="hu-HU"/>
        </w:rPr>
        <w:t xml:space="preserve">an szereplő munkálatok az alábbi szempontrendszer alapján kerültek </w:t>
      </w:r>
      <w:r>
        <w:rPr>
          <w:rFonts w:asciiTheme="majorBidi" w:hAnsiTheme="majorBidi" w:cstheme="majorBidi"/>
          <w:sz w:val="24"/>
          <w:szCs w:val="24"/>
          <w:lang w:val="hu-HU"/>
        </w:rPr>
        <w:t>a  202</w:t>
      </w:r>
      <w:r w:rsidR="00892132">
        <w:rPr>
          <w:rFonts w:asciiTheme="majorBidi" w:hAnsiTheme="majorBidi" w:cstheme="majorBidi"/>
          <w:sz w:val="24"/>
          <w:szCs w:val="24"/>
          <w:lang w:val="hu-HU"/>
        </w:rPr>
        <w:t>1. évi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programba</w:t>
      </w:r>
      <w:r w:rsidR="00892132">
        <w:rPr>
          <w:rFonts w:asciiTheme="majorBidi" w:hAnsiTheme="majorBidi" w:cstheme="majorBidi"/>
          <w:sz w:val="24"/>
          <w:szCs w:val="24"/>
          <w:lang w:val="hu-HU"/>
        </w:rPr>
        <w:t>:</w:t>
      </w:r>
    </w:p>
    <w:p w:rsidR="00892132" w:rsidRDefault="00892132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A) folyó munkálatok, amelyeket folytatni kell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B) elsőbbség a többi munkálat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tal szemben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C) tech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 xml:space="preserve">nológiai feltételek, amelyeket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elfogadott elsőbbségek határoznak meg,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0B02E2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D) pénzügyi, szervezeti és más körülmények,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amelyek kihatással vannak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középtávú programban szereplő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munkálat</w:t>
      </w:r>
      <w:r>
        <w:rPr>
          <w:rFonts w:asciiTheme="majorBidi" w:hAnsiTheme="majorBidi" w:cstheme="majorBidi"/>
          <w:sz w:val="24"/>
          <w:szCs w:val="24"/>
          <w:lang w:val="hu-HU"/>
        </w:rPr>
        <w:t>ok kivitelezésének elsőbbségére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és ütem</w:t>
      </w:r>
      <w:r>
        <w:rPr>
          <w:rFonts w:asciiTheme="majorBidi" w:hAnsiTheme="majorBidi" w:cstheme="majorBidi"/>
          <w:sz w:val="24"/>
          <w:szCs w:val="24"/>
          <w:lang w:val="hu-HU"/>
        </w:rPr>
        <w:t>ez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é</w:t>
      </w:r>
      <w:r>
        <w:rPr>
          <w:rFonts w:asciiTheme="majorBidi" w:hAnsiTheme="majorBidi" w:cstheme="majorBidi"/>
          <w:sz w:val="24"/>
          <w:szCs w:val="24"/>
          <w:lang w:val="hu-HU"/>
        </w:rPr>
        <w:t>sé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re.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A) 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A középtávú programban szereplő munkálatoknak a 2021. évi programba való bekerülés szempontjából fontos mérce, hogy a már folyamatban levő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munkálato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kat folytatni kell: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aki csak egy kicsit is ért a szakmához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, annak nem szükséges kü</w:t>
      </w:r>
      <w:r>
        <w:rPr>
          <w:rFonts w:asciiTheme="majorBidi" w:hAnsiTheme="majorBidi" w:cstheme="majorBidi"/>
          <w:sz w:val="24"/>
          <w:szCs w:val="24"/>
          <w:lang w:val="hu-HU"/>
        </w:rPr>
        <w:t>l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ön elmagyarázni, milyen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káros következmények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kel járna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amennyiben félbeszakítanák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 xml:space="preserve">a már </w:t>
      </w:r>
      <w:r>
        <w:rPr>
          <w:rFonts w:asciiTheme="majorBidi" w:hAnsiTheme="majorBidi" w:cstheme="majorBidi"/>
          <w:sz w:val="24"/>
          <w:szCs w:val="24"/>
          <w:lang w:val="hu-HU"/>
        </w:rPr>
        <w:t>megkezdett munkák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mégpedig kizárólag azon okból,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mert letelt a határidő, amelyre a programot meghozták.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0B02E2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Úgyszintén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 xml:space="preserve"> folytatni kell a korábban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vállalt kötelezettségek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 xml:space="preserve">teljesítésének </w:t>
      </w:r>
      <w:r>
        <w:rPr>
          <w:rFonts w:asciiTheme="majorBidi" w:hAnsiTheme="majorBidi" w:cstheme="majorBidi"/>
          <w:sz w:val="24"/>
          <w:szCs w:val="24"/>
          <w:lang w:val="hu-HU"/>
        </w:rPr>
        <w:t>megvalósításá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t: pl. rendszeres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 xml:space="preserve">en fizetni kell a részleteket,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amennyiben az építési telek v</w:t>
      </w:r>
      <w:r>
        <w:rPr>
          <w:rFonts w:asciiTheme="majorBidi" w:hAnsiTheme="majorBidi" w:cstheme="majorBidi"/>
          <w:sz w:val="24"/>
          <w:szCs w:val="24"/>
          <w:lang w:val="hu-HU"/>
        </w:rPr>
        <w:t>agy a kommunális infrastruktúra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létesítmény</w:t>
      </w:r>
      <w:r>
        <w:rPr>
          <w:rFonts w:asciiTheme="majorBidi" w:hAnsiTheme="majorBidi" w:cstheme="majorBidi"/>
          <w:sz w:val="24"/>
          <w:szCs w:val="24"/>
          <w:lang w:val="hu-HU"/>
        </w:rPr>
        <w:t>én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 xml:space="preserve">megvásárlásáról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szerződés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szerint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vétel</w:t>
      </w:r>
      <w:r>
        <w:rPr>
          <w:rFonts w:asciiTheme="majorBidi" w:hAnsiTheme="majorBidi" w:cstheme="majorBidi"/>
          <w:sz w:val="24"/>
          <w:szCs w:val="24"/>
          <w:lang w:val="hu-HU"/>
        </w:rPr>
        <w:t>ár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at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részletekben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kell kifizetni.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B) Egyéb fontos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mércék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amelyek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alapján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munkálatok között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i elsőbbség megállapításra került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03566" w:rsidRDefault="00A03566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amennyiben bizonyos munkálatok el nem végzése miatt az emberek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életére vagy egészségére </w:t>
      </w:r>
      <w:r>
        <w:rPr>
          <w:rFonts w:asciiTheme="majorBidi" w:hAnsiTheme="majorBidi" w:cstheme="majorBidi"/>
          <w:sz w:val="24"/>
          <w:szCs w:val="24"/>
          <w:lang w:val="hu-HU"/>
        </w:rPr>
        <w:t>kihatással bíró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káros következmények lépnének fel,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A03566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>z illetékes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bíróság ítélete vagy a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hatásköri szerv határozata, amellyel Zenta községnek meghagyták bizonyos munkálatok kivitelezését,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A03566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törvényes kötelezettség, amely Zenta községet kötelezi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b</w:t>
      </w:r>
      <w:r>
        <w:rPr>
          <w:rFonts w:asciiTheme="majorBidi" w:hAnsiTheme="majorBidi" w:cstheme="majorBidi"/>
          <w:sz w:val="24"/>
          <w:szCs w:val="24"/>
          <w:lang w:val="hu-HU"/>
        </w:rPr>
        <w:t>izonyos munkálatok kivitelezésére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03566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olyan munkálatok elvégzése,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amellyel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 xml:space="preserve">megteremthetőek a kommunális tevékenység végzéséhez szükséges </w:t>
      </w:r>
      <w:r>
        <w:rPr>
          <w:rFonts w:asciiTheme="majorBidi" w:hAnsiTheme="majorBidi" w:cstheme="majorBidi"/>
          <w:sz w:val="24"/>
          <w:szCs w:val="24"/>
          <w:lang w:val="hu-HU"/>
        </w:rPr>
        <w:t>előfeltételek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21EB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C) A technológiai  szempontok közül, amelyek meghatározzák az elsőbbséget a  legfontosabb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szüks</w:t>
      </w:r>
      <w:r>
        <w:rPr>
          <w:rFonts w:asciiTheme="majorBidi" w:hAnsiTheme="majorBidi" w:cstheme="majorBidi"/>
          <w:sz w:val="24"/>
          <w:szCs w:val="24"/>
          <w:lang w:val="hu-HU"/>
        </w:rPr>
        <w:t>éges tervalap, illetve tervdokumentáció kidolgozása,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amelyek né</w:t>
      </w:r>
      <w:r>
        <w:rPr>
          <w:rFonts w:asciiTheme="majorBidi" w:hAnsiTheme="majorBidi" w:cstheme="majorBidi"/>
          <w:sz w:val="24"/>
          <w:szCs w:val="24"/>
          <w:lang w:val="hu-HU"/>
        </w:rPr>
        <w:t>lkül bármely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beruházás végzése</w:t>
      </w:r>
      <w:r w:rsidRPr="00BD21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elképzelhetetlen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21EB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Úgyszintén fontos sze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m</w:t>
      </w:r>
      <w:r>
        <w:rPr>
          <w:rFonts w:asciiTheme="majorBidi" w:hAnsiTheme="majorBidi" w:cstheme="majorBidi"/>
          <w:sz w:val="24"/>
          <w:szCs w:val="24"/>
          <w:lang w:val="hu-HU"/>
        </w:rPr>
        <w:t>p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o</w:t>
      </w:r>
      <w:r>
        <w:rPr>
          <w:rFonts w:asciiTheme="majorBidi" w:hAnsiTheme="majorBidi" w:cstheme="majorBidi"/>
          <w:sz w:val="24"/>
          <w:szCs w:val="24"/>
          <w:lang w:val="hu-HU"/>
        </w:rPr>
        <w:t>nt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hogy </w:t>
      </w:r>
      <w:r w:rsidR="00F9464C">
        <w:rPr>
          <w:rFonts w:asciiTheme="majorBidi" w:hAnsiTheme="majorBidi" w:cstheme="majorBidi"/>
          <w:sz w:val="24"/>
          <w:szCs w:val="24"/>
          <w:lang w:val="hu-HU"/>
        </w:rPr>
        <w:t>bármiféle beruházás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megkezdése elképzelhetetlen a szükséges előkészítő munkálatok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elvégzése nélkül.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D) A</w:t>
      </w:r>
      <w:r w:rsidR="00BD21EB">
        <w:rPr>
          <w:rFonts w:asciiTheme="majorBidi" w:hAnsiTheme="majorBidi" w:cstheme="majorBidi"/>
          <w:sz w:val="24"/>
          <w:szCs w:val="24"/>
          <w:lang w:val="hu-HU"/>
        </w:rPr>
        <w:t xml:space="preserve"> középtávú programban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D21EB">
        <w:rPr>
          <w:rFonts w:asciiTheme="majorBidi" w:hAnsiTheme="majorBidi" w:cstheme="majorBidi"/>
          <w:sz w:val="24"/>
          <w:szCs w:val="24"/>
          <w:lang w:val="hu-HU"/>
        </w:rPr>
        <w:t xml:space="preserve">szereplő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munkálatok kivitelezése 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>elsőbbségének kiválasztása és ütemézés</w:t>
      </w:r>
      <w:r w:rsidR="00BD21EB"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 xml:space="preserve">szempontjából </w:t>
      </w:r>
      <w:r w:rsidR="00BD21EB">
        <w:rPr>
          <w:rFonts w:asciiTheme="majorBidi" w:hAnsiTheme="majorBidi" w:cstheme="majorBidi"/>
          <w:sz w:val="24"/>
          <w:szCs w:val="24"/>
          <w:lang w:val="hu-HU"/>
        </w:rPr>
        <w:t>az alábbi</w:t>
      </w:r>
      <w:r w:rsidR="00BD21EB" w:rsidRPr="00BD21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D21EB">
        <w:rPr>
          <w:rFonts w:asciiTheme="majorBidi" w:hAnsiTheme="majorBidi" w:cstheme="majorBidi"/>
          <w:sz w:val="24"/>
          <w:szCs w:val="24"/>
          <w:lang w:val="hu-HU"/>
        </w:rPr>
        <w:t xml:space="preserve">pénzügyi, szervezeti és más szempontokat kell figyelembe venni: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21EB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feltétlenül</w:t>
      </w:r>
      <w:r w:rsidR="00F9464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 kell választani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hu-HU"/>
        </w:rPr>
        <w:t>zon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mun</w:t>
      </w:r>
      <w:r>
        <w:rPr>
          <w:rFonts w:asciiTheme="majorBidi" w:hAnsiTheme="majorBidi" w:cstheme="majorBidi"/>
          <w:sz w:val="24"/>
          <w:szCs w:val="24"/>
          <w:lang w:val="hu-HU"/>
        </w:rPr>
        <w:t>kálatok elvégzését, amelyek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>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jelentős részben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magasabb hatalmi szintek által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folyósított rendeltetésszerű  átutalásokból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illetve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külföldi adományokból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 xml:space="preserve"> finanszíroznak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21EB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 kívánatos, hogy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egyid</w:t>
      </w:r>
      <w:r>
        <w:rPr>
          <w:rFonts w:asciiTheme="majorBidi" w:hAnsiTheme="majorBidi" w:cstheme="majorBidi"/>
          <w:sz w:val="24"/>
          <w:szCs w:val="24"/>
          <w:lang w:val="hu-HU"/>
        </w:rPr>
        <w:t>ejűleg vagy azonnal elvégezzék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zon munkálatokat,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amelyek egy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idejű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elvégzésével jelentős megtakarításra kerülhet sor (pl. kommunális ve</w:t>
      </w:r>
      <w:r>
        <w:rPr>
          <w:rFonts w:asciiTheme="majorBidi" w:hAnsiTheme="majorBidi" w:cstheme="majorBidi"/>
          <w:sz w:val="24"/>
          <w:szCs w:val="24"/>
          <w:lang w:val="hu-HU"/>
        </w:rPr>
        <w:t>zetékek  egyidejű elhelyezése,</w:t>
      </w:r>
      <w:r w:rsidR="00BD4797">
        <w:rPr>
          <w:rFonts w:asciiTheme="majorBidi" w:hAnsiTheme="majorBidi" w:cstheme="majorBidi"/>
          <w:sz w:val="24"/>
          <w:szCs w:val="24"/>
          <w:lang w:val="hu-HU"/>
        </w:rPr>
        <w:t xml:space="preserve"> különböző 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 xml:space="preserve">beruházások egyidejű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elvégzése</w:t>
      </w:r>
      <w:r w:rsidR="00BD4797" w:rsidRPr="00BD479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D4797">
        <w:rPr>
          <w:rFonts w:asciiTheme="majorBidi" w:hAnsiTheme="majorBidi" w:cstheme="majorBidi"/>
          <w:sz w:val="24"/>
          <w:szCs w:val="24"/>
          <w:lang w:val="hu-HU"/>
        </w:rPr>
        <w:t xml:space="preserve">egy bizonyos létesítményen, 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>amelyen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rekonstrukciót végeznek stb.).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4797" w:rsidP="00F9464C">
      <w:pPr>
        <w:pStyle w:val="NoSpacing"/>
        <w:numPr>
          <w:ilvl w:val="0"/>
          <w:numId w:val="10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ÉPÍTÉSI TELEK RENDEZÉSÉVEL KAPCSOLATBAN ELŐIRÁNYOZOTT MUNKÁLATOK  BEMUTATÁSA  </w:t>
      </w:r>
    </w:p>
    <w:p w:rsidR="002B32FF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385114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 telek rendezésével kapcsolatos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munkálatok fe</w:t>
      </w:r>
      <w:r w:rsidR="00F9464C">
        <w:rPr>
          <w:rFonts w:asciiTheme="majorBidi" w:hAnsiTheme="majorBidi" w:cstheme="majorBidi"/>
          <w:sz w:val="24"/>
          <w:szCs w:val="24"/>
          <w:lang w:val="hu-HU"/>
        </w:rPr>
        <w:t xml:space="preserve">lölelik annak előkészítését és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kommunális felszerelését.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4797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telek előkészítése felöleli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kutató munká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latokat, a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földméréstani, geológiai és más  alapok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megteremtését,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terv</w:t>
      </w:r>
      <w:r>
        <w:rPr>
          <w:rFonts w:asciiTheme="majorBidi" w:hAnsiTheme="majorBidi" w:cstheme="majorBidi"/>
          <w:sz w:val="24"/>
          <w:szCs w:val="24"/>
          <w:lang w:val="hu-HU"/>
        </w:rPr>
        <w:t>- és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műsza</w:t>
      </w:r>
      <w:r>
        <w:rPr>
          <w:rFonts w:asciiTheme="majorBidi" w:hAnsiTheme="majorBidi" w:cstheme="majorBidi"/>
          <w:sz w:val="24"/>
          <w:szCs w:val="24"/>
          <w:lang w:val="hu-HU"/>
        </w:rPr>
        <w:t>ki dokumentáció kidolgozását,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telek rendezési programját,  a létesítmény</w:t>
      </w:r>
      <w:r>
        <w:rPr>
          <w:rFonts w:asciiTheme="majorBidi" w:hAnsiTheme="majorBidi" w:cstheme="majorBidi"/>
          <w:sz w:val="24"/>
          <w:szCs w:val="24"/>
          <w:lang w:val="hu-HU"/>
        </w:rPr>
        <w:t>ek</w:t>
      </w:r>
      <w:r w:rsidRPr="00BD479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szükség szerinti eltávolítását, a terep helyreállítását és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más munkálatokat.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4797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telek felszerelése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felöleli a kommun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ális infrastruktúra létesítményeinek kiépítését valamint a közrendeltetésű területek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kiépítését és rendezését.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F9464C" w:rsidP="00F9464C">
      <w:pPr>
        <w:pStyle w:val="NoSpacing"/>
        <w:numPr>
          <w:ilvl w:val="1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TELEK ELŐKÉSZÍTÉSE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4797" w:rsidP="00F9464C">
      <w:pPr>
        <w:pStyle w:val="NoSpacing"/>
        <w:numPr>
          <w:ilvl w:val="2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Telek beszerzése</w:t>
      </w:r>
    </w:p>
    <w:p w:rsidR="002B32FF" w:rsidRDefault="00BD4797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telek beszerzése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felöleli: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4797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 valamikori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November 11. katonai komplexum </w:t>
      </w:r>
      <w:r>
        <w:rPr>
          <w:rFonts w:asciiTheme="majorBidi" w:hAnsiTheme="majorBidi" w:cstheme="majorBidi"/>
          <w:sz w:val="24"/>
          <w:szCs w:val="24"/>
          <w:lang w:val="hu-HU"/>
        </w:rPr>
        <w:t>zentai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telke</w:t>
      </w:r>
      <w:r>
        <w:rPr>
          <w:rFonts w:asciiTheme="majorBidi" w:hAnsiTheme="majorBidi" w:cstheme="majorBidi"/>
          <w:sz w:val="24"/>
          <w:szCs w:val="24"/>
          <w:lang w:val="hu-HU"/>
        </w:rPr>
        <w:t>i egy részének a megvásárlását  1</w:t>
      </w:r>
      <w:r w:rsidR="00F9464C">
        <w:rPr>
          <w:rFonts w:asciiTheme="majorBidi" w:hAnsiTheme="majorBidi" w:cstheme="majorBidi"/>
          <w:sz w:val="24"/>
          <w:szCs w:val="24"/>
          <w:lang w:val="hu-HU"/>
        </w:rPr>
        <w:t>.20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0.000,00 dinár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>ékben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(a teljes összeg a korábbi évekből való fel nem használt többlet)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4797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az építési telek igazgatását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(pl. a  vagyonjogi viszonyok megoldás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a, </w:t>
      </w:r>
      <w:r>
        <w:rPr>
          <w:rFonts w:asciiTheme="majorBidi" w:hAnsiTheme="majorBidi" w:cstheme="majorBidi"/>
          <w:sz w:val="24"/>
          <w:szCs w:val="24"/>
          <w:lang w:val="hu-HU"/>
        </w:rPr>
        <w:t>illetékfizetés stb.): 1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.000.000,00 dinár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 xml:space="preserve"> értékben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F9464C">
      <w:pPr>
        <w:pStyle w:val="NoSpacing"/>
        <w:numPr>
          <w:ilvl w:val="2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Előkészítő munkálatok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előkészítő munkálatok felölelik: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6C33F3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Műszaki t</w:t>
      </w:r>
      <w:r w:rsidR="00EF2459">
        <w:rPr>
          <w:rFonts w:asciiTheme="majorBidi" w:hAnsiTheme="majorBidi" w:cstheme="majorBidi"/>
          <w:sz w:val="24"/>
          <w:szCs w:val="24"/>
          <w:lang w:val="hu-HU"/>
        </w:rPr>
        <w:t xml:space="preserve">ervdokumentáció kidolgozását: </w:t>
      </w:r>
    </w:p>
    <w:p w:rsidR="00EF2459" w:rsidRDefault="00EF2459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EF2459" w:rsidP="00EF2459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IIa rendű 105-ös számú állami útvonalnak a Zenta település épí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>tési területén található részét érintő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részletes szabályozási terv kidolgozását 1.928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.000,00 dináros értékben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(melyből 1.528.000,00 dinár a korábbi években 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 xml:space="preserve">befolyt </w:t>
      </w:r>
      <w:r>
        <w:rPr>
          <w:rFonts w:asciiTheme="majorBidi" w:hAnsiTheme="majorBidi" w:cstheme="majorBidi"/>
          <w:sz w:val="24"/>
          <w:szCs w:val="24"/>
          <w:lang w:val="hu-HU"/>
        </w:rPr>
        <w:t>el nem költött adomány),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EF2459" w:rsidRPr="00EF2459" w:rsidRDefault="00EF2459" w:rsidP="00EF245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F2459" w:rsidRDefault="002B32FF" w:rsidP="002B32FF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zentai Stevan Sremac Általános Iskola épület</w:t>
      </w:r>
      <w:r w:rsidR="00EF2459">
        <w:rPr>
          <w:rFonts w:asciiTheme="majorBidi" w:hAnsiTheme="majorBidi" w:cstheme="majorBidi"/>
          <w:sz w:val="24"/>
          <w:szCs w:val="24"/>
          <w:lang w:val="hu-HU"/>
        </w:rPr>
        <w:t>én</w:t>
      </w:r>
      <w:r>
        <w:rPr>
          <w:rFonts w:asciiTheme="majorBidi" w:hAnsiTheme="majorBidi" w:cstheme="majorBidi"/>
          <w:sz w:val="24"/>
          <w:szCs w:val="24"/>
          <w:lang w:val="hu-HU"/>
        </w:rPr>
        <w:t>e</w:t>
      </w:r>
      <w:r w:rsidR="00EF2459">
        <w:rPr>
          <w:rFonts w:asciiTheme="majorBidi" w:hAnsiTheme="majorBidi" w:cstheme="majorBidi"/>
          <w:sz w:val="24"/>
          <w:szCs w:val="24"/>
          <w:lang w:val="hu-HU"/>
        </w:rPr>
        <w:t>k helyreállítására vonatkozó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="00EF2459">
        <w:rPr>
          <w:rFonts w:asciiTheme="majorBidi" w:hAnsiTheme="majorBidi" w:cstheme="majorBidi"/>
          <w:sz w:val="24"/>
          <w:szCs w:val="24"/>
          <w:lang w:val="hu-HU"/>
        </w:rPr>
        <w:t>tervdokumentáció  kidolgozását 5.4</w:t>
      </w:r>
      <w:r>
        <w:rPr>
          <w:rFonts w:asciiTheme="majorBidi" w:hAnsiTheme="majorBidi" w:cstheme="majorBidi"/>
          <w:sz w:val="24"/>
          <w:szCs w:val="24"/>
          <w:lang w:val="hu-HU"/>
        </w:rPr>
        <w:t>00.000,00 dinár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F2459">
        <w:rPr>
          <w:rFonts w:asciiTheme="majorBidi" w:hAnsiTheme="majorBidi" w:cstheme="majorBidi"/>
          <w:sz w:val="24"/>
          <w:szCs w:val="24"/>
          <w:lang w:val="hu-HU"/>
        </w:rPr>
        <w:t>ért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>ékben</w:t>
      </w:r>
      <w:r w:rsidR="00F9464C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B32FF" w:rsidRDefault="002B32FF" w:rsidP="00EF245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EF2459" w:rsidRDefault="00EF2459" w:rsidP="004C343F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4C343F">
        <w:rPr>
          <w:rFonts w:asciiTheme="majorBidi" w:hAnsiTheme="majorBidi" w:cstheme="majorBidi"/>
          <w:sz w:val="24"/>
          <w:szCs w:val="24"/>
          <w:lang w:val="hu-HU"/>
        </w:rPr>
        <w:t>közlekedési útv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>onalainak kiépítésére vonatkozó</w:t>
      </w:r>
      <w:r w:rsidR="004C343F">
        <w:rPr>
          <w:rFonts w:asciiTheme="majorBidi" w:hAnsiTheme="majorBidi" w:cstheme="majorBidi"/>
          <w:sz w:val="24"/>
          <w:szCs w:val="24"/>
          <w:lang w:val="hu-HU"/>
        </w:rPr>
        <w:t xml:space="preserve"> tervdokumentáció  kidolgozását 1.177.000,00 dinár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C343F">
        <w:rPr>
          <w:rFonts w:asciiTheme="majorBidi" w:hAnsiTheme="majorBidi" w:cstheme="majorBidi"/>
          <w:sz w:val="24"/>
          <w:szCs w:val="24"/>
          <w:lang w:val="hu-HU"/>
        </w:rPr>
        <w:t>ért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>ékben</w:t>
      </w:r>
      <w:r w:rsidR="004C343F">
        <w:rPr>
          <w:rFonts w:asciiTheme="majorBidi" w:hAnsiTheme="majorBidi" w:cstheme="majorBidi"/>
          <w:sz w:val="24"/>
          <w:szCs w:val="24"/>
          <w:lang w:val="hu-HU"/>
        </w:rPr>
        <w:t xml:space="preserve"> (melyből 466.000,00 dinár a korábbi években 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 xml:space="preserve">befolyt </w:t>
      </w:r>
      <w:r w:rsidR="004C343F">
        <w:rPr>
          <w:rFonts w:asciiTheme="majorBidi" w:hAnsiTheme="majorBidi" w:cstheme="majorBidi"/>
          <w:sz w:val="24"/>
          <w:szCs w:val="24"/>
          <w:lang w:val="hu-HU"/>
        </w:rPr>
        <w:t xml:space="preserve">el nem költött adomány), </w:t>
      </w:r>
    </w:p>
    <w:p w:rsidR="004C343F" w:rsidRPr="004C343F" w:rsidRDefault="004C343F" w:rsidP="004C343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EF2459" w:rsidP="006C33F3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település általános szabályozási tervének kidolgozását 549.600,00 dinár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>ékben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(a teljes összeg a korábbi évekből való fel nem használt többlet),  </w:t>
      </w:r>
    </w:p>
    <w:p w:rsidR="006C33F3" w:rsidRPr="006C33F3" w:rsidRDefault="006C33F3" w:rsidP="006C33F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EF2459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energetikai  hatékonyság és a megújuló energiaforrások tervdokumentációjának  kidolgozását 100.000,00 dinár</w:t>
      </w:r>
      <w:r w:rsidR="00EF2459">
        <w:rPr>
          <w:rFonts w:asciiTheme="majorBidi" w:hAnsiTheme="majorBidi" w:cstheme="majorBidi"/>
          <w:sz w:val="24"/>
          <w:szCs w:val="24"/>
          <w:lang w:val="hu-HU"/>
        </w:rPr>
        <w:t>ért,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F2459" w:rsidRPr="00EF2459" w:rsidRDefault="00EF2459" w:rsidP="00EF245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különböző 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 xml:space="preserve">műszaki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tervdokumentáció kidolgozását (Zenta község 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>területrend</w:t>
      </w:r>
      <w:r w:rsidR="00EF2459">
        <w:rPr>
          <w:rFonts w:asciiTheme="majorBidi" w:hAnsiTheme="majorBidi" w:cstheme="majorBidi"/>
          <w:sz w:val="24"/>
          <w:szCs w:val="24"/>
          <w:lang w:val="hu-HU"/>
        </w:rPr>
        <w:t>ezési terve stb.) 5.83</w:t>
      </w:r>
      <w:r>
        <w:rPr>
          <w:rFonts w:asciiTheme="majorBidi" w:hAnsiTheme="majorBidi" w:cstheme="majorBidi"/>
          <w:sz w:val="24"/>
          <w:szCs w:val="24"/>
          <w:lang w:val="hu-HU"/>
        </w:rPr>
        <w:t>0.000,00 dinár</w:t>
      </w:r>
      <w:r w:rsidR="00EF2459">
        <w:rPr>
          <w:rFonts w:asciiTheme="majorBidi" w:hAnsiTheme="majorBidi" w:cstheme="majorBidi"/>
          <w:sz w:val="24"/>
          <w:szCs w:val="24"/>
          <w:lang w:val="hu-HU"/>
        </w:rPr>
        <w:t>ért.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B32FF" w:rsidRPr="006A26AA" w:rsidRDefault="002B32FF" w:rsidP="004C343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F9464C">
      <w:pPr>
        <w:pStyle w:val="NoSpacing"/>
        <w:numPr>
          <w:ilvl w:val="2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telek előkészítésének összesítése  </w:t>
      </w:r>
    </w:p>
    <w:p w:rsidR="002B32FF" w:rsidRDefault="002B32FF" w:rsidP="002B32FF">
      <w:pPr>
        <w:pStyle w:val="NoSpacing"/>
        <w:ind w:left="90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tbl>
      <w:tblPr>
        <w:tblStyle w:val="TableGrid"/>
        <w:tblW w:w="0" w:type="auto"/>
        <w:tblInd w:w="900" w:type="dxa"/>
        <w:tblLook w:val="04A0"/>
      </w:tblPr>
      <w:tblGrid>
        <w:gridCol w:w="1476"/>
        <w:gridCol w:w="2892"/>
        <w:gridCol w:w="2892"/>
      </w:tblGrid>
      <w:tr w:rsidR="002B32FF" w:rsidTr="007774D1">
        <w:tc>
          <w:tcPr>
            <w:tcW w:w="1476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2892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2892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beruházás becsült értéke  (RSD) </w:t>
            </w:r>
          </w:p>
        </w:tc>
      </w:tr>
      <w:tr w:rsidR="002B32FF" w:rsidTr="007774D1">
        <w:tc>
          <w:tcPr>
            <w:tcW w:w="1476" w:type="dxa"/>
          </w:tcPr>
          <w:p w:rsidR="002B32FF" w:rsidRDefault="002B32FF" w:rsidP="002B32FF">
            <w:pPr>
              <w:pStyle w:val="NoSpacing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2892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Telek beszerzése  </w:t>
            </w:r>
          </w:p>
        </w:tc>
        <w:tc>
          <w:tcPr>
            <w:tcW w:w="2892" w:type="dxa"/>
          </w:tcPr>
          <w:p w:rsidR="002B32FF" w:rsidRDefault="004C343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  <w:r w:rsidR="00F9464C">
              <w:rPr>
                <w:rFonts w:asciiTheme="majorBidi" w:hAnsiTheme="majorBidi" w:cstheme="majorBidi"/>
                <w:sz w:val="24"/>
                <w:szCs w:val="24"/>
                <w:lang w:val="hu-HU"/>
              </w:rPr>
              <w:t>.2</w:t>
            </w:r>
            <w:r w:rsidR="002B32FF">
              <w:rPr>
                <w:rFonts w:asciiTheme="majorBidi" w:hAnsiTheme="majorBidi" w:cstheme="majorBidi"/>
                <w:sz w:val="24"/>
                <w:szCs w:val="24"/>
                <w:lang w:val="hu-HU"/>
              </w:rPr>
              <w:t>00.000,00</w:t>
            </w:r>
          </w:p>
        </w:tc>
      </w:tr>
      <w:tr w:rsidR="002B32FF" w:rsidRPr="00F9464C" w:rsidTr="007774D1">
        <w:tc>
          <w:tcPr>
            <w:tcW w:w="1476" w:type="dxa"/>
          </w:tcPr>
          <w:p w:rsidR="002B32FF" w:rsidRDefault="002B32FF" w:rsidP="002B32FF">
            <w:pPr>
              <w:pStyle w:val="NoSpacing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2892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Előkészítő munkálatok </w:t>
            </w:r>
          </w:p>
        </w:tc>
        <w:tc>
          <w:tcPr>
            <w:tcW w:w="2892" w:type="dxa"/>
          </w:tcPr>
          <w:p w:rsidR="002B32FF" w:rsidRDefault="004C343F" w:rsidP="00DB569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14</w:t>
            </w:r>
            <w:r w:rsidR="00F9464C">
              <w:rPr>
                <w:rFonts w:asciiTheme="majorBidi" w:hAnsiTheme="majorBidi" w:cstheme="majorBidi"/>
                <w:sz w:val="24"/>
                <w:szCs w:val="24"/>
                <w:lang w:val="hu-HU"/>
              </w:rPr>
              <w:t>.9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84</w:t>
            </w:r>
            <w:r w:rsidR="002B32FF">
              <w:rPr>
                <w:rFonts w:asciiTheme="majorBidi" w:hAnsiTheme="majorBidi" w:cstheme="majorBidi"/>
                <w:sz w:val="24"/>
                <w:szCs w:val="24"/>
                <w:lang w:val="hu-HU"/>
              </w:rPr>
              <w:t>.600,00</w:t>
            </w:r>
          </w:p>
        </w:tc>
      </w:tr>
      <w:tr w:rsidR="002B32FF" w:rsidRPr="00F9464C" w:rsidTr="007774D1">
        <w:tc>
          <w:tcPr>
            <w:tcW w:w="1476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2892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ÖSSZESEN (előirányozott  összeg): </w:t>
            </w:r>
          </w:p>
        </w:tc>
        <w:tc>
          <w:tcPr>
            <w:tcW w:w="2892" w:type="dxa"/>
          </w:tcPr>
          <w:p w:rsidR="002B32FF" w:rsidRDefault="004C343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17.184</w:t>
            </w:r>
            <w:r w:rsidR="002B32FF">
              <w:rPr>
                <w:rFonts w:asciiTheme="majorBidi" w:hAnsiTheme="majorBidi" w:cstheme="majorBidi"/>
                <w:sz w:val="24"/>
                <w:szCs w:val="24"/>
                <w:lang w:val="hu-HU"/>
              </w:rPr>
              <w:t>.600,00</w:t>
            </w:r>
          </w:p>
        </w:tc>
      </w:tr>
    </w:tbl>
    <w:p w:rsidR="002B32FF" w:rsidRDefault="002B32FF" w:rsidP="002B32FF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</w:pPr>
    </w:p>
    <w:p w:rsidR="002B32FF" w:rsidRPr="00BA1BB0" w:rsidRDefault="002B32FF" w:rsidP="002B32FF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lastRenderedPageBreak/>
        <w:t>5.2.</w:t>
      </w:r>
      <w:r w:rsidRPr="00BA1BB0"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 xml:space="preserve"> A TELEK KOMMUNÁLIS FELSZERELTSÉGE</w:t>
      </w:r>
    </w:p>
    <w:p w:rsidR="002B32FF" w:rsidRPr="00BA1BB0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5.2.1. </w:t>
      </w:r>
      <w:r w:rsidRPr="00BA1BB0">
        <w:rPr>
          <w:rFonts w:asciiTheme="majorBidi" w:hAnsiTheme="majorBidi" w:cstheme="majorBidi"/>
          <w:b/>
          <w:bCs/>
          <w:sz w:val="24"/>
          <w:szCs w:val="24"/>
          <w:lang w:val="hu-HU"/>
        </w:rPr>
        <w:t>Vízellátási rendszer</w:t>
      </w:r>
    </w:p>
    <w:p w:rsidR="002B32FF" w:rsidRPr="007B2A33" w:rsidRDefault="002B32FF" w:rsidP="002B32F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2A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tbl>
      <w:tblPr>
        <w:tblW w:w="8596" w:type="dxa"/>
        <w:tblInd w:w="1025" w:type="dxa"/>
        <w:tblLayout w:type="fixed"/>
        <w:tblLook w:val="0000"/>
      </w:tblPr>
      <w:tblGrid>
        <w:gridCol w:w="1068"/>
        <w:gridCol w:w="1986"/>
        <w:gridCol w:w="1817"/>
        <w:gridCol w:w="1743"/>
        <w:gridCol w:w="1982"/>
      </w:tblGrid>
      <w:tr w:rsidR="002B32FF" w:rsidRPr="004E46EC" w:rsidTr="007774D1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Sorszám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4E46EC" w:rsidTr="007774D1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A1392D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Tanulmány finanszírozása a föld alatti vizek tartalékáról Tornyos</w:t>
            </w:r>
            <w:r w:rsidR="00A1392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Kevi, Bogaras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Felsőhegy</w:t>
            </w:r>
            <w:r w:rsidR="00A1392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településeken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F9464C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1.4</w:t>
            </w:r>
            <w:r w:rsidR="002B32FF"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E97D98" w:rsidTr="007774D1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 összeg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):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F9464C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1.4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</w:t>
            </w:r>
            <w:r w:rsidR="002B32FF"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Default="002B32FF" w:rsidP="002B32F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38382C" w:rsidRDefault="002B32FF" w:rsidP="002B32FF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5.2.2. </w:t>
      </w:r>
      <w:r w:rsidRPr="0038382C">
        <w:rPr>
          <w:rFonts w:ascii="Times New Roman" w:hAnsi="Times New Roman" w:cs="Times New Roman"/>
          <w:b/>
          <w:bCs/>
          <w:sz w:val="24"/>
          <w:szCs w:val="24"/>
          <w:lang w:val="hu-HU"/>
        </w:rPr>
        <w:t>Csatornarendszer</w:t>
      </w:r>
    </w:p>
    <w:tbl>
      <w:tblPr>
        <w:tblW w:w="8597" w:type="dxa"/>
        <w:tblInd w:w="1025" w:type="dxa"/>
        <w:tblLayout w:type="fixed"/>
        <w:tblLook w:val="0000"/>
      </w:tblPr>
      <w:tblGrid>
        <w:gridCol w:w="1412"/>
        <w:gridCol w:w="1776"/>
        <w:gridCol w:w="1775"/>
        <w:gridCol w:w="1662"/>
        <w:gridCol w:w="1972"/>
      </w:tblGrid>
      <w:tr w:rsidR="002B32FF" w:rsidRPr="004E46EC" w:rsidTr="007774D1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4E46EC" w:rsidTr="007774D1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E97D98" w:rsidRDefault="00F9464C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szennyvizek igazgatása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F9464C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400</w:t>
            </w:r>
            <w:r w:rsidR="002B32FF"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4E46EC" w:rsidTr="007774D1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4A6ED9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 (előirányozott összeg</w:t>
            </w:r>
            <w:r w:rsidR="002B32FF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):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F9464C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400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</w:tbl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38382C" w:rsidRDefault="002B32FF" w:rsidP="002B32FF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5</w:t>
      </w:r>
      <w:r w:rsidRPr="0038382C">
        <w:rPr>
          <w:rFonts w:ascii="Times New Roman" w:hAnsi="Times New Roman" w:cs="Times New Roman"/>
          <w:b/>
          <w:bCs/>
          <w:sz w:val="24"/>
          <w:szCs w:val="24"/>
          <w:lang w:val="hu-HU"/>
        </w:rPr>
        <w:t>.2.3. Elektro - energetikai hálózat</w:t>
      </w:r>
    </w:p>
    <w:tbl>
      <w:tblPr>
        <w:tblW w:w="8597" w:type="dxa"/>
        <w:tblInd w:w="1025" w:type="dxa"/>
        <w:tblLayout w:type="fixed"/>
        <w:tblLook w:val="0000"/>
      </w:tblPr>
      <w:tblGrid>
        <w:gridCol w:w="1509"/>
        <w:gridCol w:w="1784"/>
        <w:gridCol w:w="1659"/>
        <w:gridCol w:w="1675"/>
        <w:gridCol w:w="1970"/>
      </w:tblGrid>
      <w:tr w:rsidR="002B32FF" w:rsidRPr="00D86356" w:rsidTr="007774D1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D86356" w:rsidTr="007774D1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E33969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Folyó javítások és  karbantartás a közvilágításon Zenta község területén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A1392D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5.9</w:t>
            </w:r>
            <w:r w:rsidR="002B32FF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9A4D3B" w:rsidTr="007774D1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4A6ED9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  <w:r w:rsidR="002B32FF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A1392D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5.9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</w:t>
            </w:r>
            <w:r w:rsidR="002B32FF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E97D98" w:rsidRDefault="002B32FF" w:rsidP="002B32FF">
      <w:pPr>
        <w:pStyle w:val="ListParagraph"/>
        <w:numPr>
          <w:ilvl w:val="2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7D98">
        <w:rPr>
          <w:rFonts w:ascii="Times New Roman" w:hAnsi="Times New Roman" w:cs="Times New Roman"/>
          <w:b/>
          <w:bCs/>
          <w:sz w:val="24"/>
          <w:szCs w:val="24"/>
          <w:lang w:val="hu-HU"/>
        </w:rPr>
        <w:t>Telekommunikációs hálózat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8596" w:type="dxa"/>
        <w:tblInd w:w="1025" w:type="dxa"/>
        <w:tblLayout w:type="fixed"/>
        <w:tblLook w:val="0000"/>
      </w:tblPr>
      <w:tblGrid>
        <w:gridCol w:w="1188"/>
        <w:gridCol w:w="2255"/>
        <w:gridCol w:w="1549"/>
        <w:gridCol w:w="1634"/>
        <w:gridCol w:w="1970"/>
      </w:tblGrid>
      <w:tr w:rsidR="002B32FF" w:rsidTr="007774D1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Tr="007774D1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2752E5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Előre nem látható költségek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82A18" w:rsidRDefault="002B32FF" w:rsidP="007774D1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</w:tr>
      <w:tr w:rsidR="002B32FF" w:rsidTr="007774D1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</w:tr>
    </w:tbl>
    <w:p w:rsidR="002B32FF" w:rsidRDefault="002B32FF" w:rsidP="002B32F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32FF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7D98">
        <w:rPr>
          <w:rFonts w:ascii="Times New Roman" w:hAnsi="Times New Roman" w:cs="Times New Roman"/>
          <w:b/>
          <w:bCs/>
          <w:sz w:val="24"/>
          <w:szCs w:val="24"/>
          <w:lang w:val="hu-HU"/>
        </w:rPr>
        <w:t>Közlekedési felületek</w:t>
      </w:r>
    </w:p>
    <w:p w:rsidR="002B32FF" w:rsidRPr="00E97D98" w:rsidRDefault="002B32FF" w:rsidP="002B32FF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7D98">
        <w:rPr>
          <w:rFonts w:ascii="Times New Roman" w:hAnsi="Times New Roman" w:cs="Times New Roman"/>
          <w:sz w:val="24"/>
          <w:szCs w:val="24"/>
          <w:lang w:val="hu-HU"/>
        </w:rPr>
        <w:t xml:space="preserve">A programmal előirányozott  munkálatok-kiépítés, megerősített karbantartás, az úthálózat rendszeres karbantartása: </w:t>
      </w:r>
    </w:p>
    <w:tbl>
      <w:tblPr>
        <w:tblW w:w="9677" w:type="dxa"/>
        <w:tblInd w:w="-55" w:type="dxa"/>
        <w:tblLayout w:type="fixed"/>
        <w:tblLook w:val="0000"/>
      </w:tblPr>
      <w:tblGrid>
        <w:gridCol w:w="1297"/>
        <w:gridCol w:w="1843"/>
        <w:gridCol w:w="2607"/>
        <w:gridCol w:w="1915"/>
        <w:gridCol w:w="2015"/>
      </w:tblGrid>
      <w:tr w:rsidR="002B32FF" w:rsidRPr="00D30877" w:rsidTr="007774D1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E6786" w:rsidP="002E6786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FORRÁSOK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 MEGVALÓSÍTÁSHOZ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E97D98" w:rsidTr="007774D1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6C33F3" w:rsidP="00A139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közlekedési infrastruktúra igaz</w:t>
            </w:r>
            <w:r w:rsidR="00A1392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gatása és karbantartása (pl. a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 úttest   rendes  karbantartása,  a szegélyek karbantartása,  a  közlekedési szignalizáció és  az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út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felszerelés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ének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rendes karbantartása,  a horizontá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lis szignalizáció felújítása, 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utak téli karbantartása,   a</w:t>
            </w:r>
            <w:r w:rsidR="004A6ED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vasúti síneken levő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átkelő</w:t>
            </w:r>
            <w:r w:rsidR="004A6ED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   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karbantartása</w:t>
            </w:r>
            <w:r w:rsidR="00A1392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a vízelvezetési rendszer karbantartása stb.)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25.650</w:t>
            </w:r>
            <w:r w:rsidR="002B32FF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A1392D" w:rsidRPr="00E97D98" w:rsidTr="007774D1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392D" w:rsidRDefault="00A1392D" w:rsidP="0077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392D" w:rsidRDefault="00A1392D" w:rsidP="00A139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Banat touristic cicling route connection Banat bike elnevezésű IPA-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program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392D" w:rsidRDefault="00A1392D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15.930.000,00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392D" w:rsidRPr="00D30877" w:rsidRDefault="00A1392D" w:rsidP="009E1063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92D" w:rsidRPr="00D30877" w:rsidRDefault="00A1392D" w:rsidP="009E10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D30877" w:rsidTr="007774D1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A1392D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4A6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="004A6ED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Bátka  k.k.-ba történő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vízi közlekedés  megszervezése  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590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7774D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987F2C" w:rsidTr="007774D1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</w:t>
            </w:r>
            <w:r w:rsidR="004A6ED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A1392D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.17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</w:tr>
    </w:tbl>
    <w:p w:rsidR="00A1392D" w:rsidRDefault="00A1392D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A1392D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MEGJEGYZÉS: A költségvetési </w:t>
      </w:r>
      <w:r w:rsidR="002E6786">
        <w:rPr>
          <w:rFonts w:asciiTheme="majorBidi" w:hAnsiTheme="majorBidi" w:cstheme="majorBidi"/>
          <w:sz w:val="24"/>
          <w:szCs w:val="24"/>
          <w:lang w:val="hu-HU"/>
        </w:rPr>
        <w:t>források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mellett a Banat touristic cicling route connection Banat bike elnevezésű IPA-program többi forrását az Európai Unió biztosítja 194.145,00 euró értékben.</w:t>
      </w:r>
    </w:p>
    <w:p w:rsidR="002B32FF" w:rsidRPr="00695ED5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95ED5">
        <w:rPr>
          <w:rFonts w:ascii="Times New Roman" w:hAnsi="Times New Roman" w:cs="Times New Roman"/>
          <w:b/>
          <w:bCs/>
          <w:sz w:val="24"/>
          <w:szCs w:val="24"/>
          <w:lang w:val="hu-HU"/>
        </w:rPr>
        <w:t>A szabad területek  rendezése</w:t>
      </w: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2B32FF" w:rsidRPr="00D30877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D30877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F9464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1C7101">
              <w:rPr>
                <w:rFonts w:asciiTheme="majorBidi" w:hAnsiTheme="majorBidi" w:cstheme="majorBidi"/>
                <w:sz w:val="24"/>
                <w:szCs w:val="24"/>
                <w:lang w:val="hu-HU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zöld felületek karbantartása</w:t>
            </w:r>
          </w:p>
          <w:p w:rsidR="00F9464C" w:rsidRPr="001C7101" w:rsidRDefault="00F9464C" w:rsidP="004A6ED9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A1392D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6.5</w:t>
            </w:r>
            <w:r w:rsidR="002B32FF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7774D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D30877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közterületek tisztítása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F9464C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7774D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695ED5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szökőkút és  a  játszóterek  karbantartása a közterületeken, a városi</w:t>
            </w:r>
            <w:r w:rsidR="004A6ED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strand karbantartása és  beton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gömbök elhelyezése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A1392D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7774D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másodlagos</w:t>
            </w: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hálózati rang  </w:t>
            </w:r>
          </w:p>
        </w:tc>
      </w:tr>
      <w:tr w:rsidR="00F9464C" w:rsidRPr="00F9464C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Default="00A1392D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Default="00F9464C" w:rsidP="00A139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="00BC678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városi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medence </w:t>
            </w:r>
            <w:r w:rsidR="00A1392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helyreállí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tása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Default="00A1392D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Pr="001C7101" w:rsidRDefault="00F9464C" w:rsidP="007774D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464C" w:rsidRPr="00F9464C" w:rsidRDefault="00F9464C" w:rsidP="007774D1">
            <w:pPr>
              <w:rPr>
                <w:i/>
                <w:iCs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F9464C" w:rsidRPr="00F9464C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Default="00F9464C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  <w:p w:rsidR="00F9464C" w:rsidRPr="00D30877" w:rsidRDefault="00F9464C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Pr="00D30877" w:rsidRDefault="00F9464C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Pr="00D30877" w:rsidRDefault="00A1392D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32.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Pr="00D30877" w:rsidRDefault="00F9464C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464C" w:rsidRPr="00D30877" w:rsidRDefault="00F9464C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Default="002B32FF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1299B">
        <w:rPr>
          <w:rFonts w:ascii="Times New Roman" w:hAnsi="Times New Roman" w:cs="Times New Roman"/>
          <w:b/>
          <w:bCs/>
          <w:sz w:val="24"/>
          <w:szCs w:val="24"/>
          <w:lang w:val="hu-HU"/>
        </w:rPr>
        <w:t>Hővezetékek</w:t>
      </w:r>
    </w:p>
    <w:p w:rsidR="002B32FF" w:rsidRPr="0031299B" w:rsidRDefault="002B32FF" w:rsidP="002B32F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2B32FF" w:rsidRPr="00D30877" w:rsidTr="007774D1">
        <w:trPr>
          <w:trHeight w:val="44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D30877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4A6ED9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hővezeték rekonstrukciós munkálatainak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kivitelezése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3.5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7774D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CA1E49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A1392D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3.5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</w:t>
            </w:r>
            <w:r w:rsidR="002B32FF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A1392D" w:rsidRDefault="00A1392D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392D" w:rsidRDefault="00A1392D" w:rsidP="00A1392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MEGJEGYZÉS: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teljes összeg a korábbi évekből való fel nem használt többlet.  </w:t>
      </w:r>
    </w:p>
    <w:p w:rsidR="002B32FF" w:rsidRPr="00D30877" w:rsidRDefault="002B32FF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517D9A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Más kommun</w:t>
      </w:r>
      <w:r w:rsidR="002E678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ális  rendszerek (gázvezetékek,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parti erődítmények)</w:t>
      </w: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2B32FF" w:rsidRPr="00D30877" w:rsidTr="007774D1">
        <w:trPr>
          <w:trHeight w:val="44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D30877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932294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Előre nem látható költségek</w:t>
            </w:r>
            <w:r w:rsidRPr="00932294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  <w:tr w:rsidR="002B32FF" w:rsidRPr="0031299B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Pr="00D30877" w:rsidRDefault="002B32FF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A6ED9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Többrendeltetésű</w:t>
      </w:r>
      <w:r w:rsidR="004C10E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fejlesztési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projektumo</w:t>
      </w:r>
      <w:r w:rsidR="004C10ED">
        <w:rPr>
          <w:rFonts w:ascii="Times New Roman" w:hAnsi="Times New Roman" w:cs="Times New Roman"/>
          <w:b/>
          <w:bCs/>
          <w:sz w:val="24"/>
          <w:szCs w:val="24"/>
          <w:lang w:val="hu-HU"/>
        </w:rPr>
        <w:t>k (pl. a</w:t>
      </w:r>
      <w:r w:rsidR="00476E0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B32F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műszaki </w:t>
      </w:r>
      <w:r w:rsidR="00476E0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tervdokumentáció kidolgozásának költségei, </w:t>
      </w:r>
      <w:r w:rsidR="002B32FF">
        <w:rPr>
          <w:rFonts w:ascii="Times New Roman" w:hAnsi="Times New Roman" w:cs="Times New Roman"/>
          <w:b/>
          <w:bCs/>
          <w:sz w:val="24"/>
          <w:szCs w:val="24"/>
          <w:lang w:val="hu-HU"/>
        </w:rPr>
        <w:t>s</w:t>
      </w:r>
      <w:r w:rsidR="004C10ED">
        <w:rPr>
          <w:rFonts w:ascii="Times New Roman" w:hAnsi="Times New Roman" w:cs="Times New Roman"/>
          <w:b/>
          <w:bCs/>
          <w:sz w:val="24"/>
          <w:szCs w:val="24"/>
          <w:lang w:val="hu-HU"/>
        </w:rPr>
        <w:t>zakmai felügyelet gyakorlása és</w:t>
      </w:r>
      <w:r w:rsidR="002B32F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az egyéb kísérő költségek a  földterület  kommunális felszereltsége különféle beruházásain</w:t>
      </w:r>
      <w:r w:rsidR="004C10E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stb.)</w:t>
      </w:r>
    </w:p>
    <w:p w:rsidR="002B32FF" w:rsidRDefault="002B32FF" w:rsidP="002B32FF">
      <w:pPr>
        <w:pStyle w:val="ListParagraph"/>
        <w:ind w:left="54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2830"/>
        <w:gridCol w:w="2956"/>
        <w:gridCol w:w="2916"/>
      </w:tblGrid>
      <w:tr w:rsidR="002B32FF" w:rsidRPr="002B32FF" w:rsidTr="007774D1">
        <w:tc>
          <w:tcPr>
            <w:tcW w:w="3080" w:type="dxa"/>
          </w:tcPr>
          <w:p w:rsidR="002B32FF" w:rsidRPr="00657FF7" w:rsidRDefault="002B32FF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Sorsz. </w:t>
            </w: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értékének becslése (RSD)</w:t>
            </w:r>
          </w:p>
        </w:tc>
      </w:tr>
      <w:tr w:rsidR="002B32FF" w:rsidTr="007774D1">
        <w:tc>
          <w:tcPr>
            <w:tcW w:w="3080" w:type="dxa"/>
          </w:tcPr>
          <w:p w:rsidR="002B32FF" w:rsidRDefault="002B32FF" w:rsidP="002B32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2B32FF" w:rsidRPr="00657FF7" w:rsidRDefault="00476E03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Többrendelteté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ű fejlesztési proj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tumok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(pl.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műszaki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terv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dokumentáció kidolgozás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án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 költségei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a szakmai  felügyelet gyakorlása  </w:t>
            </w:r>
            <w:r w:rsidR="002B32FF"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az egyéb kísérő költségek a  földterület  kommunális felszereltsége   különféle beruházásain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stb.)</w:t>
            </w:r>
          </w:p>
        </w:tc>
        <w:tc>
          <w:tcPr>
            <w:tcW w:w="3081" w:type="dxa"/>
          </w:tcPr>
          <w:p w:rsidR="002B32FF" w:rsidRPr="00657FF7" w:rsidRDefault="004C343F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</w:tr>
      <w:tr w:rsidR="002B32FF" w:rsidRPr="00CA1E49" w:rsidTr="007774D1">
        <w:tc>
          <w:tcPr>
            <w:tcW w:w="3080" w:type="dxa"/>
          </w:tcPr>
          <w:p w:rsidR="002B32FF" w:rsidRDefault="002B32FF" w:rsidP="007774D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2B32FF" w:rsidRDefault="002B32FF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(előirányozott összeg) </w:t>
            </w:r>
          </w:p>
        </w:tc>
        <w:tc>
          <w:tcPr>
            <w:tcW w:w="3081" w:type="dxa"/>
          </w:tcPr>
          <w:p w:rsidR="002B32FF" w:rsidRDefault="004C343F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</w:tr>
    </w:tbl>
    <w:p w:rsidR="002B32FF" w:rsidRPr="0031299B" w:rsidRDefault="002B32FF" w:rsidP="002B32FF">
      <w:pPr>
        <w:pStyle w:val="ListParagraph"/>
        <w:ind w:left="54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Pr="0031299B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földterület  kommunális felszerelésének összesítése </w:t>
      </w:r>
    </w:p>
    <w:tbl>
      <w:tblPr>
        <w:tblW w:w="9675" w:type="dxa"/>
        <w:tblInd w:w="-55" w:type="dxa"/>
        <w:tblLayout w:type="fixed"/>
        <w:tblLook w:val="0000"/>
      </w:tblPr>
      <w:tblGrid>
        <w:gridCol w:w="2148"/>
        <w:gridCol w:w="4235"/>
        <w:gridCol w:w="3292"/>
      </w:tblGrid>
      <w:tr w:rsidR="002B32FF" w:rsidRPr="00CA1E49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Sorszám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becsült  értéke (RSD)</w:t>
            </w:r>
          </w:p>
        </w:tc>
      </w:tr>
      <w:tr w:rsidR="002B32FF" w:rsidRPr="00CA1E49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Vízellátási rendszer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0D434A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1.4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</w:t>
            </w:r>
            <w:r w:rsidR="002B32FF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</w:tr>
      <w:tr w:rsidR="002B32FF" w:rsidRPr="00CA1E49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Csatornarendszer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0D434A" w:rsidP="007774D1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400</w:t>
            </w:r>
            <w:r w:rsidR="002B32FF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</w:tr>
      <w:tr w:rsidR="002B32FF" w:rsidRPr="00D30877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Elektro – energetikai  hálózat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4C343F" w:rsidP="007774D1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5.9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</w:tr>
      <w:tr w:rsidR="002B32FF" w:rsidRPr="00D30877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Telekommunikációs hálózat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</w:tr>
      <w:tr w:rsidR="002B32FF" w:rsidRPr="00D30877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Közlekedési felületek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4C343F" w:rsidP="007774D1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42.17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0.000,00</w:t>
            </w:r>
          </w:p>
        </w:tc>
      </w:tr>
      <w:tr w:rsidR="002B32FF" w:rsidRPr="00D30877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szabad felületek rendezése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4C343F" w:rsidP="007774D1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32.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0.000,00</w:t>
            </w:r>
          </w:p>
        </w:tc>
      </w:tr>
      <w:tr w:rsidR="002B32FF" w:rsidRPr="00D30877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Hővezeték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.500.000,00</w:t>
            </w:r>
          </w:p>
        </w:tc>
      </w:tr>
      <w:tr w:rsidR="002B32FF" w:rsidRPr="00D30877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CA1E49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Más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kommunális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rendszerek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CA1E49" w:rsidRDefault="002B32FF" w:rsidP="007774D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CA1E49">
              <w:rPr>
                <w:rFonts w:asciiTheme="majorBidi" w:hAnsiTheme="majorBidi" w:cstheme="majorBidi"/>
                <w:sz w:val="24"/>
                <w:szCs w:val="24"/>
                <w:lang w:val="hu-HU"/>
              </w:rPr>
              <w:t>0,00</w:t>
            </w:r>
          </w:p>
        </w:tc>
      </w:tr>
      <w:tr w:rsidR="002B32FF" w:rsidRPr="000D434A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657FF7" w:rsidRDefault="00476E03" w:rsidP="00476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Többre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delteté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ű fejlesztési projektumo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(pl.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műszaki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terv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dokumentáció kidolgozás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án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 költségei, 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szakmai  felügyelet gyakorlása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egyéb kísérő költségek a</w:t>
            </w:r>
            <w:r w:rsidR="002B32FF"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földterül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et kommunális felszereltsége </w:t>
            </w:r>
            <w:r w:rsidR="002B32FF"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különféle beruházásain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stb.)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4C343F" w:rsidP="0077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</w:tr>
      <w:tr w:rsidR="002B32FF" w:rsidRPr="000D434A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4C343F" w:rsidP="007774D1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96.87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,00</w:t>
            </w:r>
          </w:p>
        </w:tc>
      </w:tr>
    </w:tbl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5539AC" w:rsidRDefault="002B32FF" w:rsidP="002B32FF">
      <w:pPr>
        <w:pStyle w:val="ListParagraph"/>
        <w:numPr>
          <w:ilvl w:val="1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ELŐIRÁNYOZOTT MUNKÁLATOK  ÖSSZESÍTÉSE  AZ ÉPÍTÉSI TELEK RENDEZÉSÉN </w:t>
      </w:r>
    </w:p>
    <w:tbl>
      <w:tblPr>
        <w:tblStyle w:val="TableGrid"/>
        <w:tblW w:w="0" w:type="auto"/>
        <w:tblLook w:val="04A0"/>
      </w:tblPr>
      <w:tblGrid>
        <w:gridCol w:w="2093"/>
        <w:gridCol w:w="3081"/>
        <w:gridCol w:w="3081"/>
      </w:tblGrid>
      <w:tr w:rsidR="002B32FF" w:rsidTr="007774D1">
        <w:tc>
          <w:tcPr>
            <w:tcW w:w="2093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 becsült értéke (RSD)</w:t>
            </w:r>
          </w:p>
        </w:tc>
      </w:tr>
      <w:tr w:rsidR="002B32FF" w:rsidTr="007774D1">
        <w:tc>
          <w:tcPr>
            <w:tcW w:w="2093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föl</w:t>
            </w:r>
            <w:r w:rsidR="004C343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terület  előkészítése</w:t>
            </w:r>
          </w:p>
        </w:tc>
        <w:tc>
          <w:tcPr>
            <w:tcW w:w="3081" w:type="dxa"/>
          </w:tcPr>
          <w:p w:rsidR="002B32FF" w:rsidRPr="00657FF7" w:rsidRDefault="004C343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17.184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.600,00</w:t>
            </w:r>
          </w:p>
        </w:tc>
      </w:tr>
      <w:tr w:rsidR="002B32FF" w:rsidTr="007774D1">
        <w:tc>
          <w:tcPr>
            <w:tcW w:w="2093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földterület  kommunális felszerelés </w:t>
            </w:r>
          </w:p>
        </w:tc>
        <w:tc>
          <w:tcPr>
            <w:tcW w:w="3081" w:type="dxa"/>
          </w:tcPr>
          <w:p w:rsidR="002B32FF" w:rsidRPr="00657FF7" w:rsidRDefault="004C343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96.87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0.000,00</w:t>
            </w:r>
          </w:p>
        </w:tc>
      </w:tr>
      <w:tr w:rsidR="002B32FF" w:rsidTr="007774D1">
        <w:tc>
          <w:tcPr>
            <w:tcW w:w="2093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(előirányozott összeg) </w:t>
            </w: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4C343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14.054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.600,00</w:t>
            </w:r>
          </w:p>
        </w:tc>
      </w:tr>
    </w:tbl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Megjegyzés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 xml:space="preserve">: A beruházások becsült értéke RSD-ben van kimutatva. </w:t>
      </w:r>
      <w:r>
        <w:rPr>
          <w:rFonts w:ascii="Times New Roman" w:hAnsi="Times New Roman" w:cs="Times New Roman"/>
          <w:sz w:val="24"/>
          <w:szCs w:val="24"/>
          <w:lang w:val="hu-HU"/>
        </w:rPr>
        <w:t>Az euró árfo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lyama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 xml:space="preserve"> a dinárhoz viszonyítva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jelen program kidolg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>ozásának idején 1 euró = 117,58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RSD.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program az alábbi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akra vonatkozó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munkálatokat tar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talmazza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kommunális és vonalas infrastruktúra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létesí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tményei </w:t>
      </w:r>
      <w:r w:rsidR="000D434A">
        <w:rPr>
          <w:rFonts w:ascii="Times New Roman" w:hAnsi="Times New Roman" w:cs="Times New Roman"/>
          <w:sz w:val="24"/>
          <w:szCs w:val="24"/>
          <w:lang w:val="hu-HU"/>
        </w:rPr>
        <w:t>kiépítésének lokációjára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közrendeltetésű létesítménye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 </w:t>
      </w:r>
      <w:r w:rsidR="000D434A">
        <w:rPr>
          <w:rFonts w:ascii="Times New Roman" w:hAnsi="Times New Roman" w:cs="Times New Roman"/>
          <w:sz w:val="24"/>
          <w:szCs w:val="24"/>
          <w:lang w:val="hu-HU"/>
        </w:rPr>
        <w:t>kiépítésére szánt lokáció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0D434A">
        <w:rPr>
          <w:rFonts w:ascii="Times New Roman" w:hAnsi="Times New Roman" w:cs="Times New Roman"/>
          <w:sz w:val="24"/>
          <w:szCs w:val="24"/>
          <w:lang w:val="hu-HU"/>
        </w:rPr>
        <w:t>ra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te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lek rendezésére szánt lokációkra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lakásépítési</w:t>
      </w:r>
      <w:r w:rsidR="000D434A">
        <w:rPr>
          <w:rFonts w:ascii="Times New Roman" w:hAnsi="Times New Roman" w:cs="Times New Roman"/>
          <w:sz w:val="24"/>
          <w:szCs w:val="24"/>
          <w:lang w:val="hu-HU"/>
        </w:rPr>
        <w:t xml:space="preserve"> lokációk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ra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ipari és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más g</w:t>
      </w:r>
      <w:r>
        <w:rPr>
          <w:rFonts w:ascii="Times New Roman" w:hAnsi="Times New Roman" w:cs="Times New Roman"/>
          <w:sz w:val="24"/>
          <w:szCs w:val="24"/>
          <w:lang w:val="hu-HU"/>
        </w:rPr>
        <w:t>yártói létesítmények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 xml:space="preserve"> kiépítésének lokációira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76E03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üzleti, vendéglátói,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kereskedelmi létesí</w:t>
      </w:r>
      <w:r>
        <w:rPr>
          <w:rFonts w:ascii="Times New Roman" w:hAnsi="Times New Roman" w:cs="Times New Roman"/>
          <w:sz w:val="24"/>
          <w:szCs w:val="24"/>
          <w:lang w:val="hu-HU"/>
        </w:rPr>
        <w:t>tmények kiépítésének lokációira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>, stb.</w:t>
      </w:r>
    </w:p>
    <w:p w:rsidR="000D434A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434A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közlétesítmények kiépítésén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ek lokációira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 xml:space="preserve"> (oktatás, kultúra,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egészségügy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szociális védelem, stb.)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kisipari és iparosi létesítmények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kiépítésének lokációi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ra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76E03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jelentős kommunális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létesítmények</w:t>
      </w:r>
      <w:r>
        <w:rPr>
          <w:rFonts w:ascii="Times New Roman" w:hAnsi="Times New Roman" w:cs="Times New Roman"/>
          <w:sz w:val="24"/>
          <w:szCs w:val="24"/>
          <w:lang w:val="hu-HU"/>
        </w:rPr>
        <w:t>re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(magisztrális közlekedési utak,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víztisztító berendezések  stb.)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kommunális felszereltség</w:t>
      </w:r>
      <w:r w:rsidR="0072229B" w:rsidRPr="0072229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2229B">
        <w:rPr>
          <w:rFonts w:ascii="Times New Roman" w:hAnsi="Times New Roman" w:cs="Times New Roman"/>
          <w:sz w:val="24"/>
          <w:szCs w:val="24"/>
          <w:lang w:val="hu-HU"/>
        </w:rPr>
        <w:t>specifikus létesítményei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re (temetők, parkok, nyilvános fürdők, nyilvános WC-k, hulladéktárolók stb.) és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tervdokumentációval felölelt munkálatok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munká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 xml:space="preserve">latok feltételezett feltételei 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finanszírozási forrásai: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munkálatok Zenta község 202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évi költségvetéséből kerülnek finanszírozásra.  </w:t>
      </w:r>
    </w:p>
    <w:p w:rsidR="002B32FF" w:rsidRDefault="002B32FF" w:rsidP="002B32FF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6. </w:t>
      </w:r>
      <w:r w:rsidR="004C10ED">
        <w:rPr>
          <w:rFonts w:ascii="Times New Roman" w:hAnsi="Times New Roman" w:cs="Times New Roman"/>
          <w:b/>
          <w:bCs/>
          <w:sz w:val="24"/>
          <w:szCs w:val="24"/>
          <w:lang w:val="hu-HU"/>
        </w:rPr>
        <w:t>A  TELEK RENDEZÉSÉVEL KAPCSOLATBAN ELŐIRÁNY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ZOTT MUNKÁLATOK  FINANSZÍROZÁSÁNAK  FORRÁSAI ÉS  FELTÉTELEI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rendezésének finanszírozását Zenta község költségvetésében kell biztosítani, amely </w:t>
      </w:r>
      <w:r w:rsidR="000D7797">
        <w:rPr>
          <w:rFonts w:ascii="Times New Roman" w:hAnsi="Times New Roman" w:cs="Times New Roman"/>
          <w:sz w:val="24"/>
          <w:szCs w:val="24"/>
          <w:lang w:val="hu-HU"/>
        </w:rPr>
        <w:t>forrásokat</w:t>
      </w:r>
      <w:r w:rsidR="0072229B">
        <w:rPr>
          <w:rFonts w:ascii="Times New Roman" w:hAnsi="Times New Roman" w:cs="Times New Roman"/>
          <w:sz w:val="24"/>
          <w:szCs w:val="24"/>
          <w:lang w:val="hu-HU"/>
        </w:rPr>
        <w:t xml:space="preserve"> az alábbiakból teremtik elő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0D7797">
        <w:rPr>
          <w:rFonts w:ascii="Times New Roman" w:hAnsi="Times New Roman" w:cs="Times New Roman"/>
          <w:sz w:val="24"/>
          <w:szCs w:val="24"/>
          <w:lang w:val="hu-HU"/>
        </w:rPr>
        <w:t>az építési telek rendezése címén befolyt hozzájárulásból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0D7797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az építési telek bérleti díjából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0D7797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az építési telek elidegenítésé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>ből vagy cseréjéből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0D43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bérleti jognak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tulajdonjogra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való </w:t>
      </w:r>
      <w:r w:rsidR="000D7797">
        <w:rPr>
          <w:rFonts w:ascii="Times New Roman" w:hAnsi="Times New Roman" w:cs="Times New Roman"/>
          <w:sz w:val="24"/>
          <w:szCs w:val="24"/>
          <w:lang w:val="hu-HU"/>
        </w:rPr>
        <w:t>konverziójából</w:t>
      </w:r>
      <w:r w:rsidR="000D434A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 felsőbb hatalmi szintek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ren</w:t>
      </w:r>
      <w:r w:rsidR="002E6786">
        <w:rPr>
          <w:rFonts w:ascii="Times New Roman" w:hAnsi="Times New Roman" w:cs="Times New Roman"/>
          <w:sz w:val="24"/>
          <w:szCs w:val="24"/>
          <w:lang w:val="hu-HU"/>
        </w:rPr>
        <w:t>deltetésszerű átutalásai</w:t>
      </w:r>
      <w:r w:rsidR="000D7797">
        <w:rPr>
          <w:rFonts w:ascii="Times New Roman" w:hAnsi="Times New Roman" w:cs="Times New Roman"/>
          <w:sz w:val="24"/>
          <w:szCs w:val="24"/>
          <w:lang w:val="hu-HU"/>
        </w:rPr>
        <w:t>ból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egyéb források</w:t>
      </w:r>
      <w:r w:rsidR="000D7797">
        <w:rPr>
          <w:rFonts w:ascii="Times New Roman" w:hAnsi="Times New Roman" w:cs="Times New Roman"/>
          <w:sz w:val="24"/>
          <w:szCs w:val="24"/>
          <w:lang w:val="hu-HU"/>
        </w:rPr>
        <w:t>ból</w:t>
      </w:r>
      <w:r>
        <w:rPr>
          <w:rFonts w:ascii="Times New Roman" w:hAnsi="Times New Roman" w:cs="Times New Roman"/>
          <w:sz w:val="24"/>
          <w:szCs w:val="24"/>
          <w:lang w:val="hu-HU"/>
        </w:rPr>
        <w:t>, a törvénnyel</w:t>
      </w:r>
      <w:r w:rsidR="000D7797" w:rsidRPr="000D77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D7797">
        <w:rPr>
          <w:rFonts w:ascii="Times New Roman" w:hAnsi="Times New Roman" w:cs="Times New Roman"/>
          <w:sz w:val="24"/>
          <w:szCs w:val="24"/>
          <w:lang w:val="hu-HU"/>
        </w:rPr>
        <w:t>összhangban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építési telek rendezés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ének a finanszírozása történhet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részarányosan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erre a célra   megvalósított </w:t>
      </w:r>
      <w:r w:rsidR="000D7797">
        <w:rPr>
          <w:rFonts w:asciiTheme="majorBidi" w:hAnsiTheme="majorBidi" w:cstheme="majorBidi"/>
          <w:sz w:val="24"/>
          <w:szCs w:val="24"/>
          <w:lang w:val="hu-HU"/>
        </w:rPr>
        <w:t>forráso</w:t>
      </w:r>
      <w:r>
        <w:rPr>
          <w:rFonts w:ascii="Times New Roman" w:hAnsi="Times New Roman" w:cs="Times New Roman"/>
          <w:sz w:val="24"/>
          <w:szCs w:val="24"/>
          <w:lang w:val="hu-HU"/>
        </w:rPr>
        <w:t>k mértékével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 xml:space="preserve"> arányosan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0D434A" w:rsidRDefault="000D434A" w:rsidP="000D43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7. </w:t>
      </w:r>
      <w:r w:rsidR="002B32FF" w:rsidRPr="000D434A">
        <w:rPr>
          <w:rFonts w:ascii="Times New Roman" w:hAnsi="Times New Roman" w:cs="Times New Roman"/>
          <w:b/>
          <w:bCs/>
          <w:sz w:val="24"/>
          <w:szCs w:val="24"/>
          <w:lang w:val="hu-HU"/>
        </w:rPr>
        <w:t>A PROGRAM LEFOLYTATÁSÁ</w:t>
      </w:r>
      <w:r w:rsidR="00943846">
        <w:rPr>
          <w:rFonts w:ascii="Times New Roman" w:hAnsi="Times New Roman" w:cs="Times New Roman"/>
          <w:b/>
          <w:bCs/>
          <w:sz w:val="24"/>
          <w:szCs w:val="24"/>
          <w:lang w:val="hu-HU"/>
        </w:rPr>
        <w:t>VAL ÉS MEGVALÓSÍTÁSÁVAL KAPCSOLATOS INTÉZKEDÉSEK</w:t>
      </w:r>
    </w:p>
    <w:p w:rsidR="002B32FF" w:rsidRDefault="002B32FF" w:rsidP="002B32FF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program végrehajtásának  megszervezése </w:t>
      </w:r>
    </w:p>
    <w:p w:rsidR="002B32FF" w:rsidRPr="00C458CC" w:rsidRDefault="002B32FF" w:rsidP="002B32F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943846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végrehajtásán</w:t>
      </w:r>
      <w:r>
        <w:rPr>
          <w:rFonts w:ascii="Times New Roman" w:hAnsi="Times New Roman" w:cs="Times New Roman"/>
          <w:sz w:val="24"/>
          <w:szCs w:val="24"/>
          <w:lang w:val="hu-HU"/>
        </w:rPr>
        <w:t>ak a megszervezésére 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</w:t>
      </w:r>
      <w:r>
        <w:rPr>
          <w:rFonts w:ascii="Times New Roman" w:hAnsi="Times New Roman" w:cs="Times New Roman"/>
          <w:sz w:val="24"/>
          <w:szCs w:val="24"/>
          <w:lang w:val="hu-HU"/>
        </w:rPr>
        <w:t>az illetékes, akit meghatalmazunk, hogy Zenta község nevében megtegyen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minden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szükséges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jogi cselekményt</w:t>
      </w:r>
      <w:r w:rsidR="006C0562" w:rsidRPr="006C056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az építési telek rendezése céljából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, megind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ítsa a megfelelő eljárásokat a szükséges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jóváhagyás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ok, valamint az építési illetve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használatba vételi e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ngedélyek megszerzése érdekében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bejelentést tegyen a munkálatok kivitelezésének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megkezdésé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ről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C458CC" w:rsidRDefault="002B32FF" w:rsidP="002B32FF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Külön feltételek  a  program megvalósítására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6C0562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építési telek rendezés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címén 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megfizettetett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hozzájárulásokból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, illetve az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építési telek elidegenítéséből befolyt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jövedelem mozgásának figyelemmel kísérési eljárását Zenta község Köz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ségi Közigazgatási Hivatalának költségvetési és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pénzügyi osztálya végzi.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Abban az esetben, ha 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valaki tudomás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 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 xml:space="preserve">szerez </w:t>
      </w:r>
      <w:r>
        <w:rPr>
          <w:rFonts w:ascii="Times New Roman" w:hAnsi="Times New Roman" w:cs="Times New Roman"/>
          <w:sz w:val="24"/>
          <w:szCs w:val="24"/>
          <w:lang w:val="hu-HU"/>
        </w:rPr>
        <w:t>a jelen programmal előirányozott munkálatok terjedelm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én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k</w:t>
      </w:r>
      <w:r>
        <w:rPr>
          <w:rFonts w:ascii="Times New Roman" w:hAnsi="Times New Roman" w:cs="Times New Roman"/>
          <w:sz w:val="24"/>
          <w:szCs w:val="24"/>
          <w:lang w:val="hu-HU"/>
        </w:rPr>
        <w:t>, szerkezet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én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érték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én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7F038E">
        <w:rPr>
          <w:rFonts w:ascii="Times New Roman" w:hAnsi="Times New Roman" w:cs="Times New Roman"/>
          <w:sz w:val="24"/>
          <w:szCs w:val="24"/>
          <w:lang w:val="hu-HU"/>
        </w:rPr>
        <w:t xml:space="preserve"> változásáról, erről tájékoztassa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Zenta község Községi Közigazgatási Hivatalának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F038E">
        <w:rPr>
          <w:rFonts w:ascii="Times New Roman" w:hAnsi="Times New Roman" w:cs="Times New Roman"/>
          <w:sz w:val="24"/>
          <w:szCs w:val="24"/>
          <w:lang w:val="hu-HU"/>
        </w:rPr>
        <w:t xml:space="preserve">költségvetési és </w:t>
      </w:r>
      <w:r>
        <w:rPr>
          <w:rFonts w:ascii="Times New Roman" w:hAnsi="Times New Roman" w:cs="Times New Roman"/>
          <w:sz w:val="24"/>
          <w:szCs w:val="24"/>
          <w:lang w:val="hu-HU"/>
        </w:rPr>
        <w:t>pénzügyi</w:t>
      </w:r>
      <w:r w:rsidR="007F038E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 xml:space="preserve">valamint </w:t>
      </w:r>
      <w:r w:rsidR="00450065">
        <w:rPr>
          <w:rFonts w:ascii="Times New Roman" w:hAnsi="Times New Roman" w:cs="Times New Roman"/>
          <w:sz w:val="24"/>
          <w:szCs w:val="24"/>
          <w:lang w:val="hu-HU"/>
        </w:rPr>
        <w:t>helyi adó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7F038E">
        <w:rPr>
          <w:rFonts w:ascii="Times New Roman" w:hAnsi="Times New Roman" w:cs="Times New Roman"/>
          <w:sz w:val="24"/>
          <w:szCs w:val="24"/>
          <w:lang w:val="hu-HU"/>
        </w:rPr>
        <w:t>gaz</w:t>
      </w:r>
      <w:r w:rsidR="00450065">
        <w:rPr>
          <w:rFonts w:ascii="Times New Roman" w:hAnsi="Times New Roman" w:cs="Times New Roman"/>
          <w:sz w:val="24"/>
          <w:szCs w:val="24"/>
          <w:lang w:val="hu-HU"/>
        </w:rPr>
        <w:t xml:space="preserve">gatási </w:t>
      </w:r>
      <w:r>
        <w:rPr>
          <w:rFonts w:ascii="Times New Roman" w:hAnsi="Times New Roman" w:cs="Times New Roman"/>
          <w:sz w:val="24"/>
          <w:szCs w:val="24"/>
          <w:lang w:val="hu-HU"/>
        </w:rPr>
        <w:t>alosztály</w:t>
      </w:r>
      <w:r w:rsidR="00450065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t.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C458CC" w:rsidRDefault="002B32FF" w:rsidP="002B32FF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program módosításának és kiegészítésének  a  módja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50065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építési telek rendezésének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2021. évi programját módosítani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és kiegészít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eni az alábbi esetkben kell: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50065" w:rsidP="002B32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amennyiben hozzáfognak Zenta község költségvetése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módosításának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kiegészítésének előkészít</w:t>
      </w:r>
      <w:r w:rsidR="007F038E">
        <w:rPr>
          <w:rFonts w:ascii="Times New Roman" w:hAnsi="Times New Roman" w:cs="Times New Roman"/>
          <w:sz w:val="24"/>
          <w:szCs w:val="24"/>
          <w:lang w:val="hu-HU"/>
        </w:rPr>
        <w:t>éséhez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2B32FF" w:rsidRPr="00520772" w:rsidRDefault="00450065" w:rsidP="002B32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amennyiben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az év folyam</w:t>
      </w:r>
      <w:r>
        <w:rPr>
          <w:rFonts w:ascii="Times New Roman" w:hAnsi="Times New Roman" w:cs="Times New Roman"/>
          <w:sz w:val="24"/>
          <w:szCs w:val="24"/>
          <w:lang w:val="hu-HU"/>
        </w:rPr>
        <w:t>án egy bizonyos időszakban az aktivitások megvalósítási ütemének és a szerződött kötelezettségeknek az áttekintésekor</w:t>
      </w:r>
      <w:r w:rsidRPr="0045006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szükség mutatkozik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 a korábban jóváhagyott eszközök átcsoportosítására</w:t>
      </w:r>
      <w:r>
        <w:rPr>
          <w:rFonts w:ascii="Times New Roman" w:hAnsi="Times New Roman" w:cs="Times New Roman"/>
          <w:sz w:val="24"/>
          <w:szCs w:val="24"/>
          <w:lang w:val="hu-HU"/>
        </w:rPr>
        <w:t>, illetve amennyiben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korábban jóváhagyott eszközök átcsoportosítására </w:t>
      </w:r>
      <w:r>
        <w:rPr>
          <w:rFonts w:ascii="Times New Roman" w:hAnsi="Times New Roman" w:cs="Times New Roman"/>
          <w:sz w:val="24"/>
          <w:szCs w:val="24"/>
          <w:lang w:val="hu-HU"/>
        </w:rPr>
        <w:t>a község településein</w:t>
      </w:r>
      <w:r w:rsidRPr="0045006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hiányzó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 infrastruktúra kiépítés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 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céljából </w:t>
      </w:r>
      <w:r>
        <w:rPr>
          <w:rFonts w:ascii="Times New Roman" w:hAnsi="Times New Roman" w:cs="Times New Roman"/>
          <w:sz w:val="24"/>
          <w:szCs w:val="24"/>
          <w:lang w:val="hu-HU"/>
        </w:rPr>
        <w:t>utólagosan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benyújtott kezdeményezés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vagy </w:t>
      </w:r>
      <w:r w:rsidR="007F038E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>Zenta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község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 számára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>jelentős, nagy értékű létesítmény kiépítés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0127AF" w:rsidRPr="000127A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céljából utólagosan benyújtott kezdeményezés miatt van szükség.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6. ZÁRÓ RENDELKEZÉS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Pr="007F038E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C343F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építési telek rendezésének </w:t>
      </w:r>
      <w:r w:rsidR="004C343F">
        <w:rPr>
          <w:rFonts w:ascii="Times New Roman" w:hAnsi="Times New Roman" w:cs="Times New Roman"/>
          <w:sz w:val="24"/>
          <w:szCs w:val="24"/>
          <w:lang w:val="hu-HU"/>
        </w:rPr>
        <w:t>2021. évi programját közzé kell tenni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C343F">
        <w:rPr>
          <w:rFonts w:ascii="Times New Roman" w:hAnsi="Times New Roman" w:cs="Times New Roman"/>
          <w:sz w:val="24"/>
          <w:szCs w:val="24"/>
          <w:lang w:val="hu-HU"/>
        </w:rPr>
        <w:t xml:space="preserve">Zenta Község Hivatalos Lapjában és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Zenta község hivatalos honlapján.     </w:t>
      </w:r>
    </w:p>
    <w:p w:rsidR="002B32FF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 Köztársaság </w:t>
      </w:r>
    </w:p>
    <w:p w:rsidR="002B32FF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74382E" w:rsidRDefault="004C343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          Szabó Dékány Zsófia</w:t>
      </w:r>
      <w:r w:rsidR="002B32FF"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s. k. </w:t>
      </w:r>
    </w:p>
    <w:p w:rsidR="002B32FF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Zentai Községi </w:t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Képviselő-testület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a Zentai Községi Képviselő-testület  elnök asszonya</w:t>
      </w:r>
    </w:p>
    <w:p w:rsidR="002B32FF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350-</w:t>
      </w:r>
      <w:r w:rsidR="004C343F">
        <w:rPr>
          <w:rFonts w:asciiTheme="majorBidi" w:hAnsiTheme="majorBidi" w:cstheme="majorBidi"/>
          <w:b/>
          <w:bCs/>
          <w:sz w:val="24"/>
          <w:szCs w:val="24"/>
          <w:lang w:val="hu-HU"/>
        </w:rPr>
        <w:t>5</w:t>
      </w:r>
      <w:r w:rsidR="008861C2">
        <w:rPr>
          <w:rFonts w:asciiTheme="majorBidi" w:hAnsiTheme="majorBidi" w:cstheme="majorBidi"/>
          <w:b/>
          <w:bCs/>
          <w:sz w:val="24"/>
          <w:szCs w:val="24"/>
          <w:lang w:val="hu-HU"/>
        </w:rPr>
        <w:t>8</w:t>
      </w:r>
      <w:r w:rsidR="004C343F">
        <w:rPr>
          <w:rFonts w:asciiTheme="majorBidi" w:hAnsiTheme="majorBidi" w:cstheme="majorBidi"/>
          <w:b/>
          <w:bCs/>
          <w:sz w:val="24"/>
          <w:szCs w:val="24"/>
          <w:lang w:val="hu-HU"/>
        </w:rPr>
        <w:t>/2020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-I</w:t>
      </w:r>
    </w:p>
    <w:p w:rsidR="002B32FF" w:rsidRDefault="004C343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Kelt,  2020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>.12.___</w:t>
      </w:r>
    </w:p>
    <w:p w:rsidR="002B32FF" w:rsidRPr="005539AC" w:rsidRDefault="002B32FF" w:rsidP="000127AF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 e n t a</w:t>
      </w:r>
    </w:p>
    <w:p w:rsidR="000E76CB" w:rsidRPr="002B32FF" w:rsidRDefault="000E76CB">
      <w:pPr>
        <w:rPr>
          <w:lang w:val="hu-HU"/>
        </w:rPr>
      </w:pPr>
    </w:p>
    <w:sectPr w:rsidR="000E76CB" w:rsidRPr="002B32FF" w:rsidSect="00777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348"/>
    <w:multiLevelType w:val="multilevel"/>
    <w:tmpl w:val="28C0B0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D202CA4"/>
    <w:multiLevelType w:val="hybridMultilevel"/>
    <w:tmpl w:val="81065044"/>
    <w:lvl w:ilvl="0" w:tplc="E072FC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F7233"/>
    <w:multiLevelType w:val="multilevel"/>
    <w:tmpl w:val="CF0207C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786D34"/>
    <w:multiLevelType w:val="hybridMultilevel"/>
    <w:tmpl w:val="6CC65C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E7DB9"/>
    <w:multiLevelType w:val="hybridMultilevel"/>
    <w:tmpl w:val="2C1453C0"/>
    <w:lvl w:ilvl="0" w:tplc="C8C4B9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50880"/>
    <w:multiLevelType w:val="multilevel"/>
    <w:tmpl w:val="0430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74F40B6"/>
    <w:multiLevelType w:val="multilevel"/>
    <w:tmpl w:val="7450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CDD458B"/>
    <w:multiLevelType w:val="hybridMultilevel"/>
    <w:tmpl w:val="CDEAFFE8"/>
    <w:lvl w:ilvl="0" w:tplc="223E2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D197C"/>
    <w:multiLevelType w:val="multilevel"/>
    <w:tmpl w:val="B29CB9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A11903"/>
    <w:multiLevelType w:val="hybridMultilevel"/>
    <w:tmpl w:val="AB58F2BA"/>
    <w:lvl w:ilvl="0" w:tplc="70D40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6763F"/>
    <w:multiLevelType w:val="hybridMultilevel"/>
    <w:tmpl w:val="78DC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B3176"/>
    <w:rsid w:val="000127AF"/>
    <w:rsid w:val="000B02E2"/>
    <w:rsid w:val="000C6DF2"/>
    <w:rsid w:val="000D434A"/>
    <w:rsid w:val="000D7797"/>
    <w:rsid w:val="000E10AA"/>
    <w:rsid w:val="000E1E0F"/>
    <w:rsid w:val="000E76CB"/>
    <w:rsid w:val="001B073C"/>
    <w:rsid w:val="001C03AD"/>
    <w:rsid w:val="0024109C"/>
    <w:rsid w:val="002B32FF"/>
    <w:rsid w:val="002E6093"/>
    <w:rsid w:val="002E6786"/>
    <w:rsid w:val="00360816"/>
    <w:rsid w:val="00384132"/>
    <w:rsid w:val="00385114"/>
    <w:rsid w:val="00450065"/>
    <w:rsid w:val="00476E03"/>
    <w:rsid w:val="004A6ED9"/>
    <w:rsid w:val="004C10ED"/>
    <w:rsid w:val="004C343F"/>
    <w:rsid w:val="00545297"/>
    <w:rsid w:val="005A2FE1"/>
    <w:rsid w:val="006628C1"/>
    <w:rsid w:val="006707BB"/>
    <w:rsid w:val="006C0562"/>
    <w:rsid w:val="006C33F3"/>
    <w:rsid w:val="00705D9A"/>
    <w:rsid w:val="0072229B"/>
    <w:rsid w:val="0074382E"/>
    <w:rsid w:val="007774D1"/>
    <w:rsid w:val="007F038E"/>
    <w:rsid w:val="00852C2E"/>
    <w:rsid w:val="00885408"/>
    <w:rsid w:val="008861C2"/>
    <w:rsid w:val="00892132"/>
    <w:rsid w:val="009135E7"/>
    <w:rsid w:val="00943846"/>
    <w:rsid w:val="009C5849"/>
    <w:rsid w:val="009E1063"/>
    <w:rsid w:val="00A03566"/>
    <w:rsid w:val="00A1392D"/>
    <w:rsid w:val="00A572BF"/>
    <w:rsid w:val="00B57015"/>
    <w:rsid w:val="00B67CCE"/>
    <w:rsid w:val="00BC678D"/>
    <w:rsid w:val="00BD21EB"/>
    <w:rsid w:val="00BD4797"/>
    <w:rsid w:val="00C902E1"/>
    <w:rsid w:val="00DB5695"/>
    <w:rsid w:val="00ED4E5B"/>
    <w:rsid w:val="00EF2459"/>
    <w:rsid w:val="00F2100D"/>
    <w:rsid w:val="00F9464C"/>
    <w:rsid w:val="00FB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FF"/>
    <w:pPr>
      <w:suppressAutoHyphens/>
    </w:pPr>
    <w:rPr>
      <w:rFonts w:ascii="Calibri" w:eastAsia="Calibri" w:hAnsi="Calibri" w:cs="font310"/>
      <w:color w:val="00000A"/>
      <w:kern w:val="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2FF"/>
    <w:pPr>
      <w:spacing w:after="0" w:line="240" w:lineRule="auto"/>
    </w:pPr>
  </w:style>
  <w:style w:type="paragraph" w:styleId="ListParagraph">
    <w:name w:val="List Paragraph"/>
    <w:basedOn w:val="Normal"/>
    <w:qFormat/>
    <w:rsid w:val="002B32FF"/>
    <w:pPr>
      <w:ind w:left="720"/>
      <w:contextualSpacing/>
    </w:pPr>
  </w:style>
  <w:style w:type="table" w:styleId="TableGrid">
    <w:name w:val="Table Grid"/>
    <w:basedOn w:val="TableNormal"/>
    <w:uiPriority w:val="59"/>
    <w:rsid w:val="002B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14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9</cp:revision>
  <cp:lastPrinted>2020-12-02T15:01:00Z</cp:lastPrinted>
  <dcterms:created xsi:type="dcterms:W3CDTF">2020-12-02T09:26:00Z</dcterms:created>
  <dcterms:modified xsi:type="dcterms:W3CDTF">2020-12-02T17:15:00Z</dcterms:modified>
</cp:coreProperties>
</file>